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F3" w:rsidRPr="00C8284C" w:rsidRDefault="00146216" w:rsidP="00146216">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Short overview of t</w:t>
      </w:r>
      <w:r w:rsidR="006853C2" w:rsidRPr="00C8284C">
        <w:rPr>
          <w:rFonts w:ascii="Times New Roman" w:hAnsi="Times New Roman" w:cs="Times New Roman"/>
          <w:b/>
          <w:sz w:val="24"/>
          <w:szCs w:val="24"/>
          <w:lang w:val="en-GB"/>
        </w:rPr>
        <w:t>he case-law of the European Court of Human Rights on the right to free elections</w:t>
      </w:r>
    </w:p>
    <w:p w:rsidR="00715166" w:rsidRPr="00C8284C" w:rsidRDefault="00715166" w:rsidP="00891746">
      <w:pPr>
        <w:spacing w:line="360" w:lineRule="auto"/>
        <w:jc w:val="right"/>
        <w:rPr>
          <w:rFonts w:ascii="Times New Roman" w:hAnsi="Times New Roman" w:cs="Times New Roman"/>
          <w:sz w:val="24"/>
          <w:szCs w:val="24"/>
          <w:lang w:val="en-GB"/>
        </w:rPr>
      </w:pPr>
    </w:p>
    <w:p w:rsidR="00715166" w:rsidRPr="00C8284C" w:rsidRDefault="00715166" w:rsidP="00891746">
      <w:pPr>
        <w:spacing w:line="360" w:lineRule="auto"/>
        <w:jc w:val="right"/>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By </w:t>
      </w:r>
      <w:bookmarkStart w:id="0" w:name="_GoBack"/>
      <w:r w:rsidRPr="00C8284C">
        <w:rPr>
          <w:rFonts w:ascii="Times New Roman" w:hAnsi="Times New Roman" w:cs="Times New Roman"/>
          <w:sz w:val="24"/>
          <w:szCs w:val="24"/>
          <w:lang w:val="en-GB"/>
        </w:rPr>
        <w:t>Dmytro Tretyakov</w:t>
      </w:r>
    </w:p>
    <w:bookmarkEnd w:id="0"/>
    <w:p w:rsidR="00715166" w:rsidRPr="00C8284C" w:rsidRDefault="00715166" w:rsidP="00891746">
      <w:pPr>
        <w:spacing w:line="360" w:lineRule="auto"/>
        <w:jc w:val="right"/>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Lawyer at the Registry of </w:t>
      </w:r>
    </w:p>
    <w:p w:rsidR="00715166" w:rsidRPr="00C8284C" w:rsidRDefault="00715166" w:rsidP="00891746">
      <w:pPr>
        <w:spacing w:line="360" w:lineRule="auto"/>
        <w:jc w:val="right"/>
        <w:rPr>
          <w:rFonts w:ascii="Times New Roman" w:hAnsi="Times New Roman" w:cs="Times New Roman"/>
          <w:sz w:val="24"/>
          <w:szCs w:val="24"/>
          <w:lang w:val="en-GB"/>
        </w:rPr>
      </w:pPr>
      <w:r w:rsidRPr="00C8284C">
        <w:rPr>
          <w:rFonts w:ascii="Times New Roman" w:hAnsi="Times New Roman" w:cs="Times New Roman"/>
          <w:sz w:val="24"/>
          <w:szCs w:val="24"/>
          <w:lang w:val="en-GB"/>
        </w:rPr>
        <w:t>the European Court of Human Rights</w:t>
      </w:r>
    </w:p>
    <w:p w:rsidR="006853C2" w:rsidRPr="00C8284C" w:rsidRDefault="006853C2" w:rsidP="00C8284C">
      <w:pPr>
        <w:spacing w:line="360" w:lineRule="auto"/>
        <w:jc w:val="both"/>
        <w:rPr>
          <w:rFonts w:ascii="Times New Roman" w:hAnsi="Times New Roman" w:cs="Times New Roman"/>
          <w:sz w:val="24"/>
          <w:szCs w:val="24"/>
          <w:lang w:val="en-GB"/>
        </w:rPr>
      </w:pPr>
    </w:p>
    <w:p w:rsidR="00715166" w:rsidRPr="00C8284C" w:rsidRDefault="00C8284C"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I.  </w:t>
      </w:r>
      <w:r w:rsidR="00544ED2" w:rsidRPr="00C8284C">
        <w:rPr>
          <w:rFonts w:ascii="Times New Roman" w:hAnsi="Times New Roman" w:cs="Times New Roman"/>
          <w:b/>
          <w:sz w:val="24"/>
          <w:szCs w:val="24"/>
          <w:lang w:val="en-GB"/>
        </w:rPr>
        <w:t>Introduction</w:t>
      </w:r>
    </w:p>
    <w:p w:rsidR="00544ED2" w:rsidRPr="00C8284C" w:rsidRDefault="00544ED2" w:rsidP="00C8284C">
      <w:pPr>
        <w:spacing w:line="360" w:lineRule="auto"/>
        <w:jc w:val="both"/>
        <w:rPr>
          <w:rFonts w:ascii="Times New Roman" w:hAnsi="Times New Roman" w:cs="Times New Roman"/>
          <w:sz w:val="24"/>
          <w:szCs w:val="24"/>
          <w:lang w:val="en-GB"/>
        </w:rPr>
      </w:pPr>
    </w:p>
    <w:p w:rsidR="00492EC7" w:rsidRPr="00C8284C" w:rsidRDefault="005A49B1" w:rsidP="00C8284C">
      <w:pPr>
        <w:pStyle w:val="ECHRPara"/>
        <w:spacing w:line="360" w:lineRule="auto"/>
        <w:rPr>
          <w:rFonts w:ascii="Times New Roman" w:hAnsi="Times New Roman"/>
          <w:sz w:val="24"/>
          <w:lang w:val="en-GB" w:eastAsia="fr-FR"/>
        </w:rPr>
      </w:pPr>
      <w:r w:rsidRPr="00C8284C">
        <w:rPr>
          <w:rFonts w:ascii="Times New Roman" w:hAnsi="Times New Roman" w:cs="Times New Roman"/>
          <w:sz w:val="24"/>
          <w:szCs w:val="24"/>
          <w:lang w:val="en-GB"/>
        </w:rPr>
        <w:t xml:space="preserve">The </w:t>
      </w:r>
      <w:r w:rsidR="00FD6077" w:rsidRPr="00C8284C">
        <w:rPr>
          <w:rFonts w:ascii="Times New Roman" w:hAnsi="Times New Roman" w:cs="Times New Roman"/>
          <w:sz w:val="24"/>
          <w:szCs w:val="24"/>
          <w:lang w:val="en-GB"/>
        </w:rPr>
        <w:t xml:space="preserve">European </w:t>
      </w:r>
      <w:r w:rsidRPr="00C8284C">
        <w:rPr>
          <w:rFonts w:ascii="Times New Roman" w:hAnsi="Times New Roman" w:cs="Times New Roman"/>
          <w:sz w:val="24"/>
          <w:szCs w:val="24"/>
          <w:lang w:val="en-GB"/>
        </w:rPr>
        <w:t>Court</w:t>
      </w:r>
      <w:r w:rsidR="00492EC7" w:rsidRPr="00C8284C">
        <w:rPr>
          <w:rFonts w:ascii="Times New Roman" w:hAnsi="Times New Roman" w:cs="Times New Roman"/>
          <w:sz w:val="24"/>
          <w:szCs w:val="24"/>
          <w:lang w:val="en-GB"/>
        </w:rPr>
        <w:t xml:space="preserve"> </w:t>
      </w:r>
      <w:r w:rsidR="00BC785B" w:rsidRPr="00C8284C">
        <w:rPr>
          <w:rFonts w:ascii="Times New Roman" w:hAnsi="Times New Roman" w:cs="Times New Roman"/>
          <w:sz w:val="24"/>
          <w:szCs w:val="24"/>
          <w:lang w:val="en-GB"/>
        </w:rPr>
        <w:t xml:space="preserve">of Human Rights </w:t>
      </w:r>
      <w:r w:rsidRPr="00C8284C">
        <w:rPr>
          <w:rFonts w:ascii="Times New Roman" w:hAnsi="Times New Roman" w:cs="Times New Roman"/>
          <w:sz w:val="24"/>
          <w:szCs w:val="24"/>
          <w:lang w:val="en-GB"/>
        </w:rPr>
        <w:t xml:space="preserve">was set up to ensure observance of the undertakings of the Council of Europe Member States under </w:t>
      </w:r>
      <w:r w:rsidR="00FD6077" w:rsidRPr="00C8284C">
        <w:rPr>
          <w:rFonts w:ascii="Times New Roman" w:hAnsi="Times New Roman" w:cs="Times New Roman"/>
          <w:sz w:val="24"/>
          <w:szCs w:val="24"/>
          <w:lang w:val="en-GB"/>
        </w:rPr>
        <w:t>the</w:t>
      </w:r>
      <w:r w:rsidR="00FD6077" w:rsidRPr="00C8284C">
        <w:rPr>
          <w:rFonts w:ascii="Times New Roman" w:hAnsi="Times New Roman" w:cs="Times New Roman"/>
          <w:b/>
          <w:sz w:val="24"/>
          <w:szCs w:val="24"/>
          <w:lang w:val="en-GB"/>
        </w:rPr>
        <w:t xml:space="preserve"> </w:t>
      </w:r>
      <w:r w:rsidR="00FD6077" w:rsidRPr="00C8284C">
        <w:rPr>
          <w:rFonts w:ascii="Times New Roman" w:hAnsi="Times New Roman" w:cs="Times New Roman"/>
          <w:sz w:val="24"/>
          <w:szCs w:val="24"/>
          <w:lang w:val="en-GB"/>
        </w:rPr>
        <w:t>European Convention on Human Rights. The Convention guarantees a range of rights, the observance of which may well arise during the electoral process. The most obvious examples of such rights are the freedom of speech which encompasses all types of political debate</w:t>
      </w:r>
      <w:r w:rsidR="00BC785B" w:rsidRPr="00C8284C">
        <w:rPr>
          <w:rFonts w:ascii="Times New Roman" w:hAnsi="Times New Roman" w:cs="Times New Roman"/>
          <w:sz w:val="24"/>
          <w:szCs w:val="24"/>
          <w:lang w:val="en-GB"/>
        </w:rPr>
        <w:t xml:space="preserve"> during the election campaign</w:t>
      </w:r>
      <w:r w:rsidR="00425C18" w:rsidRPr="00C8284C">
        <w:rPr>
          <w:rStyle w:val="Appelnotedebasdep"/>
          <w:rFonts w:ascii="Times New Roman" w:hAnsi="Times New Roman" w:cs="Times New Roman"/>
          <w:sz w:val="24"/>
          <w:szCs w:val="24"/>
          <w:lang w:val="en-GB"/>
        </w:rPr>
        <w:footnoteReference w:id="1"/>
      </w:r>
      <w:r w:rsidR="00BC785B" w:rsidRPr="00C8284C">
        <w:rPr>
          <w:rFonts w:ascii="Times New Roman" w:hAnsi="Times New Roman" w:cs="Times New Roman"/>
          <w:sz w:val="24"/>
          <w:szCs w:val="24"/>
          <w:lang w:val="en-GB"/>
        </w:rPr>
        <w:t xml:space="preserve"> </w:t>
      </w:r>
      <w:r w:rsidR="00FD6077" w:rsidRPr="00C8284C">
        <w:rPr>
          <w:rFonts w:ascii="Times New Roman" w:hAnsi="Times New Roman" w:cs="Times New Roman"/>
          <w:sz w:val="24"/>
          <w:szCs w:val="24"/>
          <w:lang w:val="en-GB"/>
        </w:rPr>
        <w:t>and the freedom of association which guarantees among other thing the right to form and join a political party</w:t>
      </w:r>
      <w:r w:rsidR="00BC785B" w:rsidRPr="00C8284C">
        <w:rPr>
          <w:rFonts w:ascii="Times New Roman" w:hAnsi="Times New Roman" w:cs="Times New Roman"/>
          <w:sz w:val="24"/>
          <w:szCs w:val="24"/>
          <w:lang w:val="en-GB"/>
        </w:rPr>
        <w:t xml:space="preserve">, the latter being </w:t>
      </w:r>
      <w:r w:rsidR="00425C18" w:rsidRPr="00C8284C">
        <w:rPr>
          <w:rFonts w:ascii="Times New Roman" w:hAnsi="Times New Roman" w:cs="Times New Roman"/>
          <w:sz w:val="24"/>
          <w:szCs w:val="24"/>
          <w:lang w:val="en-GB"/>
        </w:rPr>
        <w:t xml:space="preserve">a </w:t>
      </w:r>
      <w:r w:rsidR="00BC785B" w:rsidRPr="00C8284C">
        <w:rPr>
          <w:rFonts w:ascii="Times New Roman" w:hAnsi="Times New Roman" w:cs="Times New Roman"/>
          <w:sz w:val="24"/>
          <w:szCs w:val="24"/>
          <w:lang w:val="en-GB"/>
        </w:rPr>
        <w:t>key actor in the elections</w:t>
      </w:r>
      <w:r w:rsidR="00425C18" w:rsidRPr="00C8284C">
        <w:rPr>
          <w:rStyle w:val="Appelnotedebasdep"/>
          <w:rFonts w:ascii="Times New Roman" w:hAnsi="Times New Roman" w:cs="Times New Roman"/>
          <w:sz w:val="24"/>
          <w:szCs w:val="24"/>
          <w:lang w:val="en-GB"/>
        </w:rPr>
        <w:footnoteReference w:id="2"/>
      </w:r>
      <w:r w:rsidR="00FD6077" w:rsidRPr="00C8284C">
        <w:rPr>
          <w:rFonts w:ascii="Times New Roman" w:hAnsi="Times New Roman" w:cs="Times New Roman"/>
          <w:sz w:val="24"/>
          <w:szCs w:val="24"/>
          <w:lang w:val="en-GB"/>
        </w:rPr>
        <w:t>. However, the most relevant Article, which directly deals with free elections, is Article 3 of Protocol No. 1. It reads as follows:</w:t>
      </w:r>
    </w:p>
    <w:p w:rsidR="00FD6077" w:rsidRPr="00C8284C" w:rsidRDefault="00FD6077" w:rsidP="00C8284C">
      <w:pPr>
        <w:spacing w:line="360" w:lineRule="auto"/>
        <w:jc w:val="both"/>
        <w:rPr>
          <w:rFonts w:ascii="Times New Roman" w:hAnsi="Times New Roman" w:cs="Times New Roman"/>
          <w:i/>
          <w:sz w:val="24"/>
          <w:szCs w:val="24"/>
          <w:lang w:val="en-GB"/>
        </w:rPr>
      </w:pPr>
      <w:r w:rsidRPr="00C8284C">
        <w:rPr>
          <w:rFonts w:ascii="Times New Roman" w:hAnsi="Times New Roman" w:cs="Times New Roman"/>
          <w:i/>
          <w:sz w:val="24"/>
          <w:szCs w:val="24"/>
          <w:lang w:val="en-GB"/>
        </w:rPr>
        <w:t>“The High Contracting Parties undertake to hold free elections at reasonable intervals by secret ballot, under conditions which will ensure the free expression of the opinion of the people in the choice of the legislature.”</w:t>
      </w:r>
    </w:p>
    <w:p w:rsidR="00544ED2" w:rsidRPr="00C8284C" w:rsidRDefault="00544ED2" w:rsidP="00C8284C">
      <w:pPr>
        <w:spacing w:line="360" w:lineRule="auto"/>
        <w:jc w:val="both"/>
        <w:rPr>
          <w:rStyle w:val="sb8d990e2"/>
          <w:rFonts w:ascii="Times New Roman" w:hAnsi="Times New Roman" w:cs="Times New Roman"/>
          <w:b/>
          <w:sz w:val="24"/>
          <w:szCs w:val="24"/>
          <w:lang w:val="en-GB"/>
        </w:rPr>
      </w:pPr>
    </w:p>
    <w:p w:rsidR="00FD6077" w:rsidRPr="00C8284C" w:rsidRDefault="00C8284C" w:rsidP="00C8284C">
      <w:pPr>
        <w:spacing w:line="360" w:lineRule="auto"/>
        <w:jc w:val="both"/>
        <w:rPr>
          <w:rStyle w:val="sb8d990e2"/>
          <w:rFonts w:ascii="Times New Roman" w:hAnsi="Times New Roman" w:cs="Times New Roman"/>
          <w:b/>
          <w:sz w:val="24"/>
          <w:szCs w:val="24"/>
          <w:lang w:val="en-GB"/>
        </w:rPr>
      </w:pPr>
      <w:r w:rsidRPr="00C8284C">
        <w:rPr>
          <w:rStyle w:val="sb8d990e2"/>
          <w:rFonts w:ascii="Times New Roman" w:hAnsi="Times New Roman" w:cs="Times New Roman"/>
          <w:b/>
          <w:sz w:val="24"/>
          <w:szCs w:val="24"/>
          <w:lang w:val="en-GB"/>
        </w:rPr>
        <w:t>II.  </w:t>
      </w:r>
      <w:r w:rsidR="00FD6077" w:rsidRPr="00C8284C">
        <w:rPr>
          <w:rStyle w:val="sb8d990e2"/>
          <w:rFonts w:ascii="Times New Roman" w:hAnsi="Times New Roman" w:cs="Times New Roman"/>
          <w:b/>
          <w:sz w:val="24"/>
          <w:szCs w:val="24"/>
          <w:lang w:val="en-GB"/>
        </w:rPr>
        <w:t>Importance</w:t>
      </w:r>
    </w:p>
    <w:p w:rsidR="00544ED2" w:rsidRPr="00C8284C" w:rsidRDefault="00544ED2" w:rsidP="00C8284C">
      <w:pPr>
        <w:spacing w:line="360" w:lineRule="auto"/>
        <w:jc w:val="both"/>
        <w:rPr>
          <w:rStyle w:val="sb8d990e2"/>
          <w:rFonts w:ascii="Times New Roman" w:hAnsi="Times New Roman" w:cs="Times New Roman"/>
          <w:sz w:val="24"/>
          <w:szCs w:val="24"/>
          <w:lang w:val="en-GB"/>
        </w:rPr>
      </w:pPr>
    </w:p>
    <w:p w:rsidR="00FD6077" w:rsidRPr="00C8284C" w:rsidRDefault="00FD6077" w:rsidP="00C8284C">
      <w:pPr>
        <w:spacing w:line="360" w:lineRule="auto"/>
        <w:jc w:val="both"/>
        <w:rPr>
          <w:rStyle w:val="sb8d990e2"/>
          <w:rFonts w:ascii="Times New Roman" w:hAnsi="Times New Roman" w:cs="Times New Roman"/>
          <w:sz w:val="24"/>
          <w:szCs w:val="24"/>
          <w:lang w:val="en-GB"/>
        </w:rPr>
      </w:pPr>
      <w:r w:rsidRPr="00C8284C">
        <w:rPr>
          <w:rStyle w:val="sb8d990e2"/>
          <w:rFonts w:ascii="Times New Roman" w:hAnsi="Times New Roman" w:cs="Times New Roman"/>
          <w:sz w:val="24"/>
          <w:szCs w:val="24"/>
          <w:lang w:val="en-GB"/>
        </w:rPr>
        <w:t xml:space="preserve">The European Court always underlined the significance of this provision to the protection of human rights. In the </w:t>
      </w:r>
      <w:r w:rsidRPr="00C8284C">
        <w:rPr>
          <w:rFonts w:ascii="Times New Roman" w:hAnsi="Times New Roman" w:cs="Times New Roman"/>
          <w:sz w:val="24"/>
          <w:szCs w:val="24"/>
          <w:lang w:val="en-GB"/>
        </w:rPr>
        <w:t xml:space="preserve">case of </w:t>
      </w:r>
      <w:r w:rsidRPr="00C8284C">
        <w:rPr>
          <w:rFonts w:ascii="Times New Roman" w:hAnsi="Times New Roman" w:cs="Times New Roman"/>
          <w:i/>
          <w:sz w:val="24"/>
          <w:szCs w:val="24"/>
          <w:lang w:val="en-GB"/>
        </w:rPr>
        <w:t>Mathieu-Mohin and Clerfayt v. Belgium</w:t>
      </w:r>
      <w:r w:rsidRPr="00C8284C">
        <w:rPr>
          <w:rFonts w:ascii="Times New Roman" w:hAnsi="Times New Roman" w:cs="Times New Roman"/>
          <w:sz w:val="24"/>
          <w:szCs w:val="24"/>
          <w:lang w:val="en-GB"/>
        </w:rPr>
        <w:t>, the Court observed that “</w:t>
      </w:r>
      <w:r w:rsidRPr="00C8284C">
        <w:rPr>
          <w:rFonts w:ascii="Times New Roman" w:hAnsi="Times New Roman" w:cs="Times New Roman"/>
          <w:i/>
          <w:sz w:val="24"/>
          <w:szCs w:val="24"/>
          <w:lang w:val="en-GB"/>
        </w:rPr>
        <w:t>according to the Preamble to the Convention, fundamental human rights and freedoms are best maintained by "an effective political democracy". Since it enshrines a characteristic principle of democracy, Article 3 of Protocol No. 1 is accordingly of prime importance in the Convention system</w:t>
      </w:r>
      <w:r w:rsidRPr="00C8284C">
        <w:rPr>
          <w:rFonts w:ascii="Times New Roman" w:hAnsi="Times New Roman" w:cs="Times New Roman"/>
          <w:sz w:val="24"/>
          <w:szCs w:val="24"/>
          <w:lang w:val="en-GB"/>
        </w:rPr>
        <w:t>”</w:t>
      </w:r>
      <w:r w:rsidRPr="00C8284C">
        <w:rPr>
          <w:rStyle w:val="sb8d990e2"/>
          <w:rFonts w:ascii="Times New Roman" w:hAnsi="Times New Roman" w:cs="Times New Roman"/>
          <w:sz w:val="24"/>
          <w:szCs w:val="24"/>
          <w:lang w:val="en-GB"/>
        </w:rPr>
        <w:t>.</w:t>
      </w:r>
      <w:r w:rsidRPr="00C8284C">
        <w:rPr>
          <w:rStyle w:val="Appelnotedebasdep"/>
          <w:rFonts w:ascii="Times New Roman" w:hAnsi="Times New Roman" w:cs="Times New Roman"/>
          <w:sz w:val="24"/>
          <w:szCs w:val="24"/>
          <w:lang w:val="en-GB"/>
        </w:rPr>
        <w:footnoteReference w:id="3"/>
      </w:r>
    </w:p>
    <w:p w:rsidR="00544ED2" w:rsidRPr="00C8284C" w:rsidRDefault="00544ED2" w:rsidP="00C8284C">
      <w:pPr>
        <w:spacing w:line="360" w:lineRule="auto"/>
        <w:jc w:val="both"/>
        <w:rPr>
          <w:rFonts w:ascii="Times New Roman" w:hAnsi="Times New Roman" w:cs="Times New Roman"/>
          <w:b/>
          <w:sz w:val="24"/>
          <w:szCs w:val="24"/>
          <w:lang w:val="en-GB"/>
        </w:rPr>
      </w:pPr>
    </w:p>
    <w:p w:rsidR="00FD6077" w:rsidRPr="00C8284C" w:rsidRDefault="00C8284C"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III.  </w:t>
      </w:r>
      <w:r w:rsidR="00FD6077" w:rsidRPr="00C8284C">
        <w:rPr>
          <w:rFonts w:ascii="Times New Roman" w:hAnsi="Times New Roman" w:cs="Times New Roman"/>
          <w:b/>
          <w:sz w:val="24"/>
          <w:szCs w:val="24"/>
          <w:lang w:val="en-GB"/>
        </w:rPr>
        <w:t>Scope</w:t>
      </w:r>
    </w:p>
    <w:p w:rsidR="00544ED2" w:rsidRPr="00C8284C" w:rsidRDefault="00544ED2" w:rsidP="00C8284C">
      <w:pPr>
        <w:spacing w:line="360" w:lineRule="auto"/>
        <w:jc w:val="both"/>
        <w:rPr>
          <w:rFonts w:ascii="Times New Roman" w:hAnsi="Times New Roman" w:cs="Times New Roman"/>
          <w:sz w:val="24"/>
          <w:szCs w:val="24"/>
          <w:lang w:val="en-GB"/>
        </w:rPr>
      </w:pPr>
    </w:p>
    <w:p w:rsidR="00C87AD5" w:rsidRPr="00C8284C" w:rsidRDefault="00064AD6"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Now we will look at the scope of application of Article 3 of Protocol No. 1</w:t>
      </w:r>
      <w:r w:rsidR="00425C18" w:rsidRPr="00C8284C">
        <w:rPr>
          <w:rFonts w:ascii="Times New Roman" w:hAnsi="Times New Roman" w:cs="Times New Roman"/>
          <w:sz w:val="24"/>
          <w:szCs w:val="24"/>
          <w:lang w:val="en-GB"/>
        </w:rPr>
        <w:t>.</w:t>
      </w:r>
      <w:r w:rsidRPr="00C8284C">
        <w:rPr>
          <w:rFonts w:ascii="Times New Roman" w:hAnsi="Times New Roman" w:cs="Times New Roman"/>
          <w:sz w:val="24"/>
          <w:szCs w:val="24"/>
          <w:lang w:val="en-GB"/>
        </w:rPr>
        <w:t xml:space="preserve"> </w:t>
      </w:r>
      <w:r w:rsidR="00425C18" w:rsidRPr="00C8284C">
        <w:rPr>
          <w:rFonts w:ascii="Times New Roman" w:hAnsi="Times New Roman" w:cs="Times New Roman"/>
          <w:sz w:val="24"/>
          <w:szCs w:val="24"/>
          <w:lang w:val="en-GB"/>
        </w:rPr>
        <w:t>A</w:t>
      </w:r>
      <w:r w:rsidRPr="00C8284C">
        <w:rPr>
          <w:rFonts w:ascii="Times New Roman" w:hAnsi="Times New Roman" w:cs="Times New Roman"/>
          <w:sz w:val="24"/>
          <w:szCs w:val="24"/>
          <w:lang w:val="en-GB"/>
        </w:rPr>
        <w:t xml:space="preserve">s you can see </w:t>
      </w:r>
      <w:r w:rsidR="00FD6077" w:rsidRPr="00C8284C">
        <w:rPr>
          <w:rFonts w:ascii="Times New Roman" w:hAnsi="Times New Roman" w:cs="Times New Roman"/>
          <w:sz w:val="24"/>
          <w:szCs w:val="24"/>
          <w:lang w:val="en-GB"/>
        </w:rPr>
        <w:t xml:space="preserve">from </w:t>
      </w:r>
      <w:r w:rsidRPr="00C8284C">
        <w:rPr>
          <w:rFonts w:ascii="Times New Roman" w:hAnsi="Times New Roman" w:cs="Times New Roman"/>
          <w:sz w:val="24"/>
          <w:szCs w:val="24"/>
          <w:lang w:val="en-GB"/>
        </w:rPr>
        <w:t>its wording</w:t>
      </w:r>
      <w:r w:rsidR="00FD6077" w:rsidRPr="00C8284C">
        <w:rPr>
          <w:rFonts w:ascii="Times New Roman" w:hAnsi="Times New Roman" w:cs="Times New Roman"/>
          <w:sz w:val="24"/>
          <w:szCs w:val="24"/>
          <w:lang w:val="en-GB"/>
        </w:rPr>
        <w:t xml:space="preserve">, </w:t>
      </w:r>
      <w:r w:rsidR="00425C18" w:rsidRPr="00C8284C">
        <w:rPr>
          <w:rFonts w:ascii="Times New Roman" w:hAnsi="Times New Roman" w:cs="Times New Roman"/>
          <w:sz w:val="24"/>
          <w:szCs w:val="24"/>
          <w:lang w:val="en-GB"/>
        </w:rPr>
        <w:t>this article</w:t>
      </w:r>
      <w:r w:rsidR="00FD6077" w:rsidRPr="00C8284C">
        <w:rPr>
          <w:rFonts w:ascii="Times New Roman" w:hAnsi="Times New Roman" w:cs="Times New Roman"/>
          <w:sz w:val="24"/>
          <w:szCs w:val="24"/>
          <w:lang w:val="en-GB"/>
        </w:rPr>
        <w:t xml:space="preserve"> guarantees only the “choice of the legislature”. However, the “legislature” does not necessarily mean the national parliament. The Court </w:t>
      </w:r>
      <w:r w:rsidRPr="00C8284C">
        <w:rPr>
          <w:rFonts w:ascii="Times New Roman" w:hAnsi="Times New Roman" w:cs="Times New Roman"/>
          <w:sz w:val="24"/>
          <w:szCs w:val="24"/>
          <w:lang w:val="en-GB"/>
        </w:rPr>
        <w:t>here applies its jurisdiction over « all matters concerning the interpretation and application of the Convention and the Protocols » (Article 32</w:t>
      </w:r>
      <w:r w:rsidR="00425C18" w:rsidRPr="00C8284C">
        <w:rPr>
          <w:rFonts w:ascii="Times New Roman" w:hAnsi="Times New Roman" w:cs="Times New Roman"/>
          <w:sz w:val="24"/>
          <w:szCs w:val="24"/>
          <w:lang w:val="en-GB"/>
        </w:rPr>
        <w:t xml:space="preserve"> of the Convention</w:t>
      </w:r>
      <w:r w:rsidRPr="00C8284C">
        <w:rPr>
          <w:rFonts w:ascii="Times New Roman" w:hAnsi="Times New Roman" w:cs="Times New Roman"/>
          <w:sz w:val="24"/>
          <w:szCs w:val="24"/>
          <w:lang w:val="en-GB"/>
        </w:rPr>
        <w:t xml:space="preserve">) and gives </w:t>
      </w:r>
      <w:r w:rsidR="00FD6077" w:rsidRPr="00C8284C">
        <w:rPr>
          <w:rFonts w:ascii="Times New Roman" w:hAnsi="Times New Roman" w:cs="Times New Roman"/>
          <w:sz w:val="24"/>
          <w:szCs w:val="24"/>
          <w:lang w:val="en-GB"/>
        </w:rPr>
        <w:t>autonomous interpretation to the term “legislature”</w:t>
      </w:r>
      <w:r w:rsidR="00890A15" w:rsidRPr="00C8284C">
        <w:rPr>
          <w:rFonts w:ascii="Times New Roman" w:hAnsi="Times New Roman" w:cs="Times New Roman"/>
          <w:sz w:val="24"/>
          <w:szCs w:val="24"/>
          <w:lang w:val="en-GB"/>
        </w:rPr>
        <w:t xml:space="preserve"> </w:t>
      </w:r>
      <w:r w:rsidR="00C87AD5" w:rsidRPr="00C8284C">
        <w:rPr>
          <w:rFonts w:ascii="Times New Roman" w:hAnsi="Times New Roman" w:cs="Times New Roman"/>
          <w:sz w:val="24"/>
          <w:szCs w:val="24"/>
          <w:lang w:val="en-GB"/>
        </w:rPr>
        <w:t>in the light of the constitutional structure of the State in question. What the Court mainly looks at is whether the competence and powers vested in the respective authority are wide enough to make it a constituent part of the legislature</w:t>
      </w:r>
      <w:r w:rsidR="00425C18" w:rsidRPr="00C8284C">
        <w:rPr>
          <w:rFonts w:ascii="Times New Roman" w:hAnsi="Times New Roman" w:cs="Times New Roman"/>
          <w:sz w:val="24"/>
          <w:szCs w:val="24"/>
          <w:lang w:val="en-GB"/>
        </w:rPr>
        <w:t xml:space="preserve"> with</w:t>
      </w:r>
      <w:r w:rsidR="00C87AD5" w:rsidRPr="00C8284C">
        <w:rPr>
          <w:rFonts w:ascii="Times New Roman" w:hAnsi="Times New Roman" w:cs="Times New Roman"/>
          <w:sz w:val="24"/>
          <w:szCs w:val="24"/>
          <w:lang w:val="en-GB"/>
        </w:rPr>
        <w:t>in the meaning of Article 3 of Protocol No. 1.</w:t>
      </w:r>
    </w:p>
    <w:p w:rsidR="00C87AD5" w:rsidRPr="00C8284C" w:rsidRDefault="00C87AD5" w:rsidP="00C8284C">
      <w:pPr>
        <w:pStyle w:val="ECHRPara"/>
        <w:spacing w:line="360" w:lineRule="auto"/>
        <w:rPr>
          <w:rFonts w:ascii="Times New Roman" w:hAnsi="Times New Roman" w:cs="Times New Roman"/>
          <w:sz w:val="24"/>
          <w:szCs w:val="24"/>
          <w:lang w:val="en-GB" w:eastAsia="fr-FR"/>
        </w:rPr>
      </w:pPr>
      <w:r w:rsidRPr="00C8284C">
        <w:rPr>
          <w:rFonts w:ascii="Times New Roman" w:hAnsi="Times New Roman" w:cs="Times New Roman"/>
          <w:sz w:val="24"/>
          <w:szCs w:val="24"/>
          <w:lang w:val="en-GB"/>
        </w:rPr>
        <w:t>Thus, the Court held that this provision was not applicable to</w:t>
      </w:r>
      <w:r w:rsidR="00890A15" w:rsidRPr="00C8284C">
        <w:rPr>
          <w:rFonts w:ascii="Times New Roman" w:hAnsi="Times New Roman" w:cs="Times New Roman"/>
          <w:sz w:val="24"/>
          <w:szCs w:val="24"/>
          <w:lang w:val="en-GB"/>
        </w:rPr>
        <w:t xml:space="preserve"> referenda</w:t>
      </w:r>
      <w:r w:rsidR="00890A15" w:rsidRPr="00C8284C">
        <w:rPr>
          <w:rStyle w:val="Appelnotedebasdep"/>
          <w:rFonts w:ascii="Times New Roman" w:hAnsi="Times New Roman" w:cs="Times New Roman"/>
          <w:sz w:val="24"/>
          <w:szCs w:val="24"/>
          <w:lang w:val="en-GB"/>
        </w:rPr>
        <w:footnoteReference w:id="4"/>
      </w:r>
      <w:r w:rsidR="00890A15" w:rsidRPr="00C8284C">
        <w:rPr>
          <w:rFonts w:ascii="Times New Roman" w:hAnsi="Times New Roman" w:cs="Times New Roman"/>
          <w:sz w:val="24"/>
          <w:szCs w:val="24"/>
          <w:lang w:val="en-GB"/>
        </w:rPr>
        <w:t>,</w:t>
      </w:r>
      <w:r w:rsidRPr="00C8284C">
        <w:rPr>
          <w:rFonts w:ascii="Times New Roman" w:hAnsi="Times New Roman" w:cs="Times New Roman"/>
          <w:sz w:val="24"/>
          <w:szCs w:val="24"/>
          <w:lang w:val="en-GB"/>
        </w:rPr>
        <w:t xml:space="preserve"> presidential elections in the Former Republic of Macedonia</w:t>
      </w:r>
      <w:r w:rsidR="00890A15" w:rsidRPr="00C8284C">
        <w:rPr>
          <w:rStyle w:val="Appelnotedebasdep"/>
          <w:rFonts w:ascii="Times New Roman" w:hAnsi="Times New Roman" w:cs="Times New Roman"/>
          <w:sz w:val="24"/>
          <w:szCs w:val="24"/>
          <w:lang w:val="en-GB"/>
        </w:rPr>
        <w:footnoteReference w:id="5"/>
      </w:r>
      <w:r w:rsidRPr="00C8284C">
        <w:rPr>
          <w:rFonts w:ascii="Times New Roman" w:hAnsi="Times New Roman" w:cs="Times New Roman"/>
          <w:sz w:val="24"/>
          <w:szCs w:val="24"/>
          <w:lang w:val="en-GB"/>
        </w:rPr>
        <w:t xml:space="preserve"> and Ukraine</w:t>
      </w:r>
      <w:r w:rsidR="00890A15" w:rsidRPr="00C8284C">
        <w:rPr>
          <w:rStyle w:val="Appelnotedebasdep"/>
          <w:rFonts w:ascii="Times New Roman" w:hAnsi="Times New Roman" w:cs="Times New Roman"/>
          <w:sz w:val="24"/>
          <w:szCs w:val="24"/>
          <w:lang w:val="en-GB"/>
        </w:rPr>
        <w:footnoteReference w:id="6"/>
      </w:r>
      <w:r w:rsidRPr="00C8284C">
        <w:rPr>
          <w:rFonts w:ascii="Times New Roman" w:hAnsi="Times New Roman" w:cs="Times New Roman"/>
          <w:sz w:val="24"/>
          <w:szCs w:val="24"/>
          <w:lang w:val="en-GB"/>
        </w:rPr>
        <w:t xml:space="preserve"> and to local elections in Russia</w:t>
      </w:r>
      <w:r w:rsidR="003B1758" w:rsidRPr="00C8284C">
        <w:rPr>
          <w:rStyle w:val="Appelnotedebasdep"/>
          <w:rFonts w:ascii="Times New Roman" w:hAnsi="Times New Roman" w:cs="Times New Roman"/>
          <w:sz w:val="24"/>
          <w:szCs w:val="24"/>
          <w:lang w:val="en-GB"/>
        </w:rPr>
        <w:footnoteReference w:id="7"/>
      </w:r>
      <w:r w:rsidR="003B1758" w:rsidRPr="00C8284C">
        <w:rPr>
          <w:rFonts w:ascii="Times New Roman" w:hAnsi="Times New Roman" w:cs="Times New Roman"/>
          <w:sz w:val="24"/>
          <w:szCs w:val="24"/>
          <w:lang w:val="en-GB"/>
        </w:rPr>
        <w:t>,</w:t>
      </w:r>
      <w:r w:rsidR="003B1758" w:rsidRPr="00C8284C">
        <w:rPr>
          <w:rFonts w:ascii="Times New Roman" w:hAnsi="Times New Roman" w:cs="Times New Roman"/>
          <w:i/>
          <w:sz w:val="24"/>
          <w:szCs w:val="24"/>
          <w:lang w:val="en-GB" w:eastAsia="fr-FR"/>
        </w:rPr>
        <w:t xml:space="preserve"> </w:t>
      </w:r>
      <w:r w:rsidRPr="00C8284C">
        <w:rPr>
          <w:rFonts w:ascii="Times New Roman" w:hAnsi="Times New Roman" w:cs="Times New Roman"/>
          <w:sz w:val="24"/>
          <w:szCs w:val="24"/>
          <w:lang w:val="en-GB"/>
        </w:rPr>
        <w:t>Poland</w:t>
      </w:r>
      <w:r w:rsidR="003B1758" w:rsidRPr="00C8284C">
        <w:rPr>
          <w:rStyle w:val="Appelnotedebasdep"/>
          <w:rFonts w:ascii="Times New Roman" w:hAnsi="Times New Roman" w:cs="Times New Roman"/>
          <w:sz w:val="24"/>
          <w:szCs w:val="24"/>
          <w:lang w:val="en-GB"/>
        </w:rPr>
        <w:footnoteReference w:id="8"/>
      </w:r>
      <w:r w:rsidRPr="00C8284C">
        <w:rPr>
          <w:rFonts w:ascii="Times New Roman" w:hAnsi="Times New Roman" w:cs="Times New Roman"/>
          <w:sz w:val="24"/>
          <w:szCs w:val="24"/>
          <w:lang w:val="en-GB"/>
        </w:rPr>
        <w:t xml:space="preserve"> and Moldova</w:t>
      </w:r>
      <w:r w:rsidR="003B1758" w:rsidRPr="00C8284C">
        <w:rPr>
          <w:rStyle w:val="Appelnotedebasdep"/>
          <w:rFonts w:ascii="Times New Roman" w:hAnsi="Times New Roman" w:cs="Times New Roman"/>
          <w:sz w:val="24"/>
          <w:szCs w:val="24"/>
          <w:lang w:val="en-GB"/>
        </w:rPr>
        <w:footnoteReference w:id="9"/>
      </w:r>
      <w:r w:rsidRPr="00C8284C">
        <w:rPr>
          <w:rFonts w:ascii="Times New Roman" w:hAnsi="Times New Roman" w:cs="Times New Roman"/>
          <w:sz w:val="24"/>
          <w:szCs w:val="24"/>
          <w:lang w:val="en-GB"/>
        </w:rPr>
        <w:t>. At the same time, the Court considered that the regional councils in Belgium and Italy had sufficient competence and powers to make them constituent part of the “legislature” in their respective countries. Accordingly, regional elections in Belgium</w:t>
      </w:r>
      <w:r w:rsidR="00CF060F" w:rsidRPr="00C8284C">
        <w:rPr>
          <w:rStyle w:val="Appelnotedebasdep"/>
          <w:rFonts w:ascii="Times New Roman" w:hAnsi="Times New Roman" w:cs="Times New Roman"/>
          <w:sz w:val="24"/>
          <w:szCs w:val="24"/>
          <w:lang w:val="en-GB"/>
        </w:rPr>
        <w:footnoteReference w:id="10"/>
      </w:r>
      <w:r w:rsidRPr="00C8284C">
        <w:rPr>
          <w:rFonts w:ascii="Times New Roman" w:hAnsi="Times New Roman" w:cs="Times New Roman"/>
          <w:sz w:val="24"/>
          <w:szCs w:val="24"/>
          <w:lang w:val="en-GB"/>
        </w:rPr>
        <w:t xml:space="preserve"> and Italy</w:t>
      </w:r>
      <w:r w:rsidR="00CF060F" w:rsidRPr="00C8284C">
        <w:rPr>
          <w:rStyle w:val="Appelnotedebasdep"/>
          <w:rFonts w:ascii="Times New Roman" w:hAnsi="Times New Roman" w:cs="Times New Roman"/>
          <w:sz w:val="24"/>
          <w:szCs w:val="24"/>
          <w:lang w:val="en-GB"/>
        </w:rPr>
        <w:footnoteReference w:id="11"/>
      </w:r>
      <w:r w:rsidRPr="00C8284C">
        <w:rPr>
          <w:rFonts w:ascii="Times New Roman" w:hAnsi="Times New Roman" w:cs="Times New Roman"/>
          <w:sz w:val="24"/>
          <w:szCs w:val="24"/>
          <w:lang w:val="en-GB"/>
        </w:rPr>
        <w:t xml:space="preserve"> were considered to fall within the ambit </w:t>
      </w:r>
      <w:r w:rsidR="00544ED2" w:rsidRPr="00C8284C">
        <w:rPr>
          <w:rFonts w:ascii="Times New Roman" w:hAnsi="Times New Roman" w:cs="Times New Roman"/>
          <w:sz w:val="24"/>
          <w:szCs w:val="24"/>
          <w:lang w:val="en-GB"/>
        </w:rPr>
        <w:t>of Article 3 of Protocol No. 1.</w:t>
      </w:r>
    </w:p>
    <w:p w:rsidR="00C87AD5" w:rsidRPr="00C8284C" w:rsidRDefault="00544ED2"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In several cases, the Convention organs looked at the European elections too. The development of the case-law on this issue illustrates an important</w:t>
      </w:r>
      <w:r w:rsidR="00C87AD5" w:rsidRPr="00C8284C">
        <w:rPr>
          <w:rFonts w:ascii="Times New Roman" w:hAnsi="Times New Roman" w:cs="Times New Roman"/>
          <w:sz w:val="24"/>
          <w:szCs w:val="24"/>
          <w:lang w:val="en-GB"/>
        </w:rPr>
        <w:t xml:space="preserve"> principle</w:t>
      </w:r>
      <w:r w:rsidRPr="00C8284C">
        <w:rPr>
          <w:rFonts w:ascii="Times New Roman" w:hAnsi="Times New Roman" w:cs="Times New Roman"/>
          <w:sz w:val="24"/>
          <w:szCs w:val="24"/>
          <w:lang w:val="en-GB"/>
        </w:rPr>
        <w:t xml:space="preserve"> of interpretation </w:t>
      </w:r>
      <w:r w:rsidR="00425C18" w:rsidRPr="00C8284C">
        <w:rPr>
          <w:rFonts w:ascii="Times New Roman" w:hAnsi="Times New Roman" w:cs="Times New Roman"/>
          <w:sz w:val="24"/>
          <w:szCs w:val="24"/>
          <w:lang w:val="en-GB"/>
        </w:rPr>
        <w:t xml:space="preserve">of the Convention, which says that </w:t>
      </w:r>
      <w:r w:rsidR="00C87AD5" w:rsidRPr="00C8284C">
        <w:rPr>
          <w:rFonts w:ascii="Times New Roman" w:hAnsi="Times New Roman" w:cs="Times New Roman"/>
          <w:sz w:val="24"/>
          <w:szCs w:val="24"/>
          <w:lang w:val="en-GB"/>
        </w:rPr>
        <w:t xml:space="preserve">the Convention </w:t>
      </w:r>
      <w:r w:rsidR="00425C18" w:rsidRPr="00C8284C">
        <w:rPr>
          <w:rFonts w:ascii="Times New Roman" w:hAnsi="Times New Roman" w:cs="Times New Roman"/>
          <w:sz w:val="24"/>
          <w:szCs w:val="24"/>
          <w:lang w:val="en-GB"/>
        </w:rPr>
        <w:t>is</w:t>
      </w:r>
      <w:r w:rsidR="00C87AD5" w:rsidRPr="00C8284C">
        <w:rPr>
          <w:rFonts w:ascii="Times New Roman" w:hAnsi="Times New Roman" w:cs="Times New Roman"/>
          <w:sz w:val="24"/>
          <w:szCs w:val="24"/>
          <w:lang w:val="en-GB"/>
        </w:rPr>
        <w:t xml:space="preserve"> a living instrument. </w:t>
      </w:r>
      <w:r w:rsidRPr="00C8284C">
        <w:rPr>
          <w:rFonts w:ascii="Times New Roman" w:hAnsi="Times New Roman" w:cs="Times New Roman"/>
          <w:sz w:val="24"/>
          <w:szCs w:val="24"/>
          <w:lang w:val="en-GB"/>
        </w:rPr>
        <w:t>In 1979, i</w:t>
      </w:r>
      <w:r w:rsidR="00C87AD5" w:rsidRPr="00C8284C">
        <w:rPr>
          <w:rFonts w:ascii="Times New Roman" w:hAnsi="Times New Roman" w:cs="Times New Roman"/>
          <w:sz w:val="24"/>
          <w:szCs w:val="24"/>
          <w:lang w:val="en-GB"/>
        </w:rPr>
        <w:t xml:space="preserve">n </w:t>
      </w:r>
      <w:r w:rsidRPr="00C8284C">
        <w:rPr>
          <w:rFonts w:ascii="Times New Roman" w:hAnsi="Times New Roman" w:cs="Times New Roman"/>
          <w:sz w:val="24"/>
          <w:szCs w:val="24"/>
          <w:lang w:val="en-GB"/>
        </w:rPr>
        <w:t xml:space="preserve">the case </w:t>
      </w:r>
      <w:r w:rsidR="00C87AD5" w:rsidRPr="00C8284C">
        <w:rPr>
          <w:rFonts w:ascii="Times New Roman" w:hAnsi="Times New Roman" w:cs="Times New Roman"/>
          <w:i/>
          <w:sz w:val="24"/>
          <w:szCs w:val="24"/>
          <w:lang w:val="en-GB"/>
        </w:rPr>
        <w:t>Lindsay and Others v. the United Kingdom</w:t>
      </w:r>
      <w:r w:rsidR="00064AD6" w:rsidRPr="00C8284C">
        <w:rPr>
          <w:rStyle w:val="Appelnotedebasdep"/>
          <w:rFonts w:ascii="Times New Roman" w:hAnsi="Times New Roman" w:cs="Times New Roman"/>
          <w:sz w:val="24"/>
          <w:szCs w:val="24"/>
          <w:lang w:val="en-GB"/>
        </w:rPr>
        <w:footnoteReference w:id="12"/>
      </w:r>
      <w:r w:rsidRPr="00C8284C">
        <w:rPr>
          <w:rFonts w:ascii="Times New Roman" w:hAnsi="Times New Roman" w:cs="Times New Roman"/>
          <w:sz w:val="24"/>
          <w:szCs w:val="24"/>
          <w:lang w:val="en-GB"/>
        </w:rPr>
        <w:t>,</w:t>
      </w:r>
      <w:r w:rsidR="00C87AD5" w:rsidRPr="00C8284C">
        <w:rPr>
          <w:rFonts w:ascii="Times New Roman" w:hAnsi="Times New Roman" w:cs="Times New Roman"/>
          <w:sz w:val="24"/>
          <w:szCs w:val="24"/>
          <w:lang w:val="en-GB"/>
        </w:rPr>
        <w:t xml:space="preserve"> the European Commission concluded that European Parliament is purely advisory body and therefore elections to it fell outside the ambit of Article 3 of Protocol No. 1. Twenty years later, in the case of </w:t>
      </w:r>
      <w:r w:rsidR="00C87AD5" w:rsidRPr="00C8284C">
        <w:rPr>
          <w:rFonts w:ascii="Times New Roman" w:hAnsi="Times New Roman" w:cs="Times New Roman"/>
          <w:i/>
          <w:sz w:val="24"/>
          <w:szCs w:val="24"/>
          <w:lang w:val="en-GB"/>
        </w:rPr>
        <w:t>Matthews v. the United Kingdom</w:t>
      </w:r>
      <w:r w:rsidR="00064AD6" w:rsidRPr="00C8284C">
        <w:rPr>
          <w:rStyle w:val="Appelnotedebasdep"/>
          <w:rFonts w:ascii="Times New Roman" w:hAnsi="Times New Roman" w:cs="Times New Roman"/>
          <w:sz w:val="24"/>
          <w:szCs w:val="24"/>
          <w:lang w:val="en-GB"/>
        </w:rPr>
        <w:footnoteReference w:id="13"/>
      </w:r>
      <w:r w:rsidR="00C87AD5" w:rsidRPr="00C8284C">
        <w:rPr>
          <w:rFonts w:ascii="Times New Roman" w:hAnsi="Times New Roman" w:cs="Times New Roman"/>
          <w:sz w:val="24"/>
          <w:szCs w:val="24"/>
          <w:lang w:val="en-GB"/>
        </w:rPr>
        <w:t xml:space="preserve">, the Court observed the evolution of the European Parliament since the adoption of the Maastricht Treaty. It thus concluded that </w:t>
      </w:r>
      <w:r w:rsidR="00C87AD5" w:rsidRPr="00C8284C">
        <w:rPr>
          <w:rStyle w:val="sb8d990e2"/>
          <w:rFonts w:ascii="Times New Roman" w:hAnsi="Times New Roman" w:cs="Times New Roman"/>
          <w:sz w:val="24"/>
          <w:szCs w:val="24"/>
          <w:lang w:val="en-GB"/>
        </w:rPr>
        <w:t xml:space="preserve">the European Parliament was “sufficiently involved in the specific legislative processes leading to the passage of legislation” and “in the </w:t>
      </w:r>
      <w:r w:rsidR="00C87AD5" w:rsidRPr="00C8284C">
        <w:rPr>
          <w:rStyle w:val="sb8d990e2"/>
          <w:rFonts w:ascii="Times New Roman" w:hAnsi="Times New Roman" w:cs="Times New Roman"/>
          <w:sz w:val="24"/>
          <w:szCs w:val="24"/>
          <w:lang w:val="en-GB"/>
        </w:rPr>
        <w:lastRenderedPageBreak/>
        <w:t>general democratic supervision of the activities of the European Community” to constitute part of the “legislature” for the purposes of Article 3 of Protocol No. 1.</w:t>
      </w:r>
    </w:p>
    <w:p w:rsidR="00C87AD5" w:rsidRPr="00C8284C" w:rsidRDefault="00C87AD5" w:rsidP="00C8284C">
      <w:pPr>
        <w:spacing w:line="360" w:lineRule="auto"/>
        <w:jc w:val="both"/>
        <w:rPr>
          <w:rStyle w:val="sb8d990e2"/>
          <w:rFonts w:ascii="Times New Roman" w:hAnsi="Times New Roman" w:cs="Times New Roman"/>
          <w:sz w:val="24"/>
          <w:szCs w:val="24"/>
          <w:lang w:val="en-GB"/>
        </w:rPr>
      </w:pPr>
    </w:p>
    <w:p w:rsidR="008554AB" w:rsidRPr="00C8284C" w:rsidRDefault="00C8284C" w:rsidP="00C8284C">
      <w:pPr>
        <w:spacing w:line="360" w:lineRule="auto"/>
        <w:jc w:val="both"/>
        <w:rPr>
          <w:rStyle w:val="sb8d990e2"/>
          <w:rFonts w:ascii="Times New Roman" w:hAnsi="Times New Roman" w:cs="Times New Roman"/>
          <w:b/>
          <w:sz w:val="24"/>
          <w:szCs w:val="24"/>
          <w:lang w:val="en-GB"/>
        </w:rPr>
      </w:pPr>
      <w:r w:rsidRPr="00C8284C">
        <w:rPr>
          <w:rStyle w:val="sb8d990e2"/>
          <w:rFonts w:ascii="Times New Roman" w:hAnsi="Times New Roman" w:cs="Times New Roman"/>
          <w:b/>
          <w:sz w:val="24"/>
          <w:szCs w:val="24"/>
          <w:lang w:val="en-GB"/>
        </w:rPr>
        <w:t>IV.  </w:t>
      </w:r>
      <w:r w:rsidR="008554AB" w:rsidRPr="00C8284C">
        <w:rPr>
          <w:rStyle w:val="sb8d990e2"/>
          <w:rFonts w:ascii="Times New Roman" w:hAnsi="Times New Roman" w:cs="Times New Roman"/>
          <w:b/>
          <w:sz w:val="24"/>
          <w:szCs w:val="24"/>
          <w:lang w:val="en-GB"/>
        </w:rPr>
        <w:t>Unique wording</w:t>
      </w:r>
    </w:p>
    <w:p w:rsidR="008554AB" w:rsidRPr="00C8284C" w:rsidRDefault="008554AB" w:rsidP="00C8284C">
      <w:pPr>
        <w:spacing w:line="360" w:lineRule="auto"/>
        <w:jc w:val="both"/>
        <w:rPr>
          <w:rStyle w:val="sb8d990e2"/>
          <w:rFonts w:ascii="Times New Roman" w:hAnsi="Times New Roman" w:cs="Times New Roman"/>
          <w:sz w:val="24"/>
          <w:szCs w:val="24"/>
          <w:lang w:val="en-GB"/>
        </w:rPr>
      </w:pPr>
    </w:p>
    <w:p w:rsidR="000F1C80" w:rsidRPr="00C8284C" w:rsidRDefault="00BD1441" w:rsidP="00C8284C">
      <w:pPr>
        <w:spacing w:line="360" w:lineRule="auto"/>
        <w:jc w:val="both"/>
        <w:rPr>
          <w:rFonts w:ascii="Times New Roman" w:hAnsi="Times New Roman" w:cs="Times New Roman"/>
          <w:sz w:val="24"/>
          <w:szCs w:val="24"/>
          <w:lang w:val="en-GB"/>
        </w:rPr>
      </w:pPr>
      <w:r w:rsidRPr="00C8284C">
        <w:rPr>
          <w:rStyle w:val="sb8d990e2"/>
          <w:rFonts w:ascii="Times New Roman" w:hAnsi="Times New Roman" w:cs="Times New Roman"/>
          <w:sz w:val="24"/>
          <w:szCs w:val="24"/>
          <w:lang w:val="en-GB"/>
        </w:rPr>
        <w:t xml:space="preserve">Unlike most of the substantive clauses in the Convention and its Protocols, which use the words "Everyone has the right" or "No one shall", Article 3 </w:t>
      </w:r>
      <w:r w:rsidR="008554AB" w:rsidRPr="00C8284C">
        <w:rPr>
          <w:rStyle w:val="sb8d990e2"/>
          <w:rFonts w:ascii="Times New Roman" w:hAnsi="Times New Roman" w:cs="Times New Roman"/>
          <w:sz w:val="24"/>
          <w:szCs w:val="24"/>
          <w:lang w:val="en-GB"/>
        </w:rPr>
        <w:t xml:space="preserve">of Protocol No. 1 </w:t>
      </w:r>
      <w:r w:rsidRPr="00C8284C">
        <w:rPr>
          <w:rStyle w:val="sb8d990e2"/>
          <w:rFonts w:ascii="Times New Roman" w:hAnsi="Times New Roman" w:cs="Times New Roman"/>
          <w:sz w:val="24"/>
          <w:szCs w:val="24"/>
          <w:lang w:val="en-GB"/>
        </w:rPr>
        <w:t>uses the phrase "The High Contracting Parties undertake"</w:t>
      </w:r>
      <w:r w:rsidR="00425C18" w:rsidRPr="00C8284C">
        <w:rPr>
          <w:rStyle w:val="sb8d990e2"/>
          <w:rFonts w:ascii="Times New Roman" w:hAnsi="Times New Roman" w:cs="Times New Roman"/>
          <w:sz w:val="24"/>
          <w:szCs w:val="24"/>
          <w:lang w:val="en-GB"/>
        </w:rPr>
        <w:t>, which might suggest that this provision does not confer any individual rights</w:t>
      </w:r>
      <w:r w:rsidRPr="00C8284C">
        <w:rPr>
          <w:rStyle w:val="sb8d990e2"/>
          <w:rFonts w:ascii="Times New Roman" w:hAnsi="Times New Roman" w:cs="Times New Roman"/>
          <w:sz w:val="24"/>
          <w:szCs w:val="24"/>
          <w:lang w:val="en-GB"/>
        </w:rPr>
        <w:t xml:space="preserve">. However, </w:t>
      </w:r>
      <w:r w:rsidR="007B75E1" w:rsidRPr="00C8284C">
        <w:rPr>
          <w:rStyle w:val="sb8d990e2"/>
          <w:rFonts w:ascii="Times New Roman" w:hAnsi="Times New Roman" w:cs="Times New Roman"/>
          <w:sz w:val="24"/>
          <w:szCs w:val="24"/>
          <w:lang w:val="en-GB"/>
        </w:rPr>
        <w:t>the case-law of the Convention organs asserted that this provision provided for individual rights as well. A</w:t>
      </w:r>
      <w:r w:rsidR="00182906" w:rsidRPr="00C8284C">
        <w:rPr>
          <w:rFonts w:ascii="Times New Roman" w:hAnsi="Times New Roman" w:cs="Times New Roman"/>
          <w:sz w:val="24"/>
          <w:szCs w:val="24"/>
          <w:lang w:val="en-GB"/>
        </w:rPr>
        <w:t xml:space="preserve">s the Court summarized in </w:t>
      </w:r>
      <w:r w:rsidR="008554AB" w:rsidRPr="00C8284C">
        <w:rPr>
          <w:rFonts w:ascii="Times New Roman" w:hAnsi="Times New Roman" w:cs="Times New Roman"/>
          <w:sz w:val="24"/>
          <w:szCs w:val="24"/>
          <w:lang w:val="en-GB"/>
        </w:rPr>
        <w:t xml:space="preserve">the case of </w:t>
      </w:r>
      <w:r w:rsidR="00182906" w:rsidRPr="00C8284C">
        <w:rPr>
          <w:rFonts w:ascii="Times New Roman" w:hAnsi="Times New Roman" w:cs="Times New Roman"/>
          <w:i/>
          <w:sz w:val="24"/>
          <w:szCs w:val="24"/>
          <w:lang w:val="en-GB"/>
        </w:rPr>
        <w:t>Hirst (2)</w:t>
      </w:r>
      <w:r w:rsidR="008554AB" w:rsidRPr="00C8284C">
        <w:rPr>
          <w:rFonts w:ascii="Times New Roman" w:hAnsi="Times New Roman" w:cs="Times New Roman"/>
          <w:i/>
          <w:sz w:val="24"/>
          <w:szCs w:val="24"/>
          <w:lang w:val="en-GB"/>
        </w:rPr>
        <w:t xml:space="preserve"> v. the United Kingdom</w:t>
      </w:r>
      <w:r w:rsidR="008554AB" w:rsidRPr="00C8284C">
        <w:rPr>
          <w:rFonts w:ascii="Times New Roman" w:hAnsi="Times New Roman" w:cs="Times New Roman"/>
          <w:sz w:val="24"/>
          <w:szCs w:val="24"/>
          <w:lang w:val="en-GB"/>
        </w:rPr>
        <w:t>: “</w:t>
      </w:r>
      <w:r w:rsidR="00182906" w:rsidRPr="00C8284C">
        <w:rPr>
          <w:rStyle w:val="sb8d990e2"/>
          <w:rFonts w:ascii="Times New Roman" w:hAnsi="Times New Roman" w:cs="Times New Roman"/>
          <w:i/>
          <w:sz w:val="24"/>
          <w:szCs w:val="24"/>
          <w:lang w:val="en-GB"/>
        </w:rPr>
        <w:t>Article 3 of Protocol No. 1 appears at first sight to differ from the other rights guaranteed in the Convention and Protocols as it is phrased in terms of the obligation of the High Contracting Party to hold elections which ensure the free expression of the opinion of the people rather than in terms of a particular right or freedom. However, having regard to the preparatory work to Article 3 of Protocol No. 1 and the interpretation of the provision in the context of the Convention as a whole, the Court has established that it guarantees individual rights, including the right to vote and to stand for election. Indeed, it was considered that the unique phrasing was intended to give greater solemnity to the Contracting States’ commitment and to emphasise that this was an area where they were required to take positive measures as opposed to merely refraining from interference.</w:t>
      </w:r>
      <w:r w:rsidR="00182906" w:rsidRPr="00C8284C">
        <w:rPr>
          <w:rStyle w:val="sb8d990e2"/>
          <w:rFonts w:ascii="Times New Roman" w:hAnsi="Times New Roman" w:cs="Times New Roman"/>
          <w:sz w:val="24"/>
          <w:szCs w:val="24"/>
          <w:lang w:val="en-GB"/>
        </w:rPr>
        <w:t>”</w:t>
      </w:r>
      <w:r w:rsidR="00575153" w:rsidRPr="00C8284C">
        <w:rPr>
          <w:rStyle w:val="Appelnotedebasdep"/>
          <w:rFonts w:ascii="Times New Roman" w:hAnsi="Times New Roman" w:cs="Times New Roman"/>
          <w:sz w:val="24"/>
          <w:szCs w:val="24"/>
          <w:lang w:val="en-GB"/>
        </w:rPr>
        <w:footnoteReference w:id="14"/>
      </w:r>
      <w:r w:rsidR="000F1C80" w:rsidRPr="00C8284C">
        <w:rPr>
          <w:rStyle w:val="sb8d990e2"/>
          <w:rFonts w:ascii="Times New Roman" w:hAnsi="Times New Roman" w:cs="Times New Roman"/>
          <w:sz w:val="24"/>
          <w:szCs w:val="24"/>
          <w:lang w:val="en-GB"/>
        </w:rPr>
        <w:t xml:space="preserve"> </w:t>
      </w:r>
      <w:r w:rsidR="00182906" w:rsidRPr="00C8284C">
        <w:rPr>
          <w:rFonts w:ascii="Times New Roman" w:hAnsi="Times New Roman" w:cs="Times New Roman"/>
          <w:sz w:val="24"/>
          <w:szCs w:val="24"/>
          <w:lang w:val="en-GB"/>
        </w:rPr>
        <w:t xml:space="preserve">The Court thus established that provisions of Article 3 of Protocol No. 1 imply both </w:t>
      </w:r>
      <w:r w:rsidR="000F1C80" w:rsidRPr="00C8284C">
        <w:rPr>
          <w:rFonts w:ascii="Times New Roman" w:hAnsi="Times New Roman" w:cs="Times New Roman"/>
          <w:sz w:val="24"/>
          <w:szCs w:val="24"/>
          <w:lang w:val="en-GB"/>
        </w:rPr>
        <w:t>the right to vote and the right to stand for elections.</w:t>
      </w:r>
    </w:p>
    <w:p w:rsidR="000F1C80" w:rsidRPr="00C8284C" w:rsidRDefault="000F1C80" w:rsidP="00C8284C">
      <w:pPr>
        <w:spacing w:line="360" w:lineRule="auto"/>
        <w:jc w:val="both"/>
        <w:rPr>
          <w:rFonts w:ascii="Times New Roman" w:hAnsi="Times New Roman" w:cs="Times New Roman"/>
          <w:sz w:val="24"/>
          <w:szCs w:val="24"/>
          <w:lang w:val="en-GB"/>
        </w:rPr>
      </w:pPr>
    </w:p>
    <w:p w:rsidR="000F1C80" w:rsidRPr="00C8284C" w:rsidRDefault="00C8284C"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V.  </w:t>
      </w:r>
      <w:r w:rsidR="000F1C80" w:rsidRPr="00C8284C">
        <w:rPr>
          <w:rFonts w:ascii="Times New Roman" w:hAnsi="Times New Roman" w:cs="Times New Roman"/>
          <w:b/>
          <w:sz w:val="24"/>
          <w:szCs w:val="24"/>
          <w:lang w:val="en-GB"/>
        </w:rPr>
        <w:t>Limitations</w:t>
      </w:r>
    </w:p>
    <w:p w:rsidR="000F1C80" w:rsidRPr="00C8284C" w:rsidRDefault="000F1C80" w:rsidP="00C8284C">
      <w:pPr>
        <w:spacing w:line="360" w:lineRule="auto"/>
        <w:jc w:val="both"/>
        <w:rPr>
          <w:rFonts w:ascii="Times New Roman" w:hAnsi="Times New Roman" w:cs="Times New Roman"/>
          <w:sz w:val="24"/>
          <w:szCs w:val="24"/>
          <w:lang w:val="en-GB"/>
        </w:rPr>
      </w:pPr>
    </w:p>
    <w:p w:rsidR="003045FE" w:rsidRPr="00C8284C" w:rsidRDefault="000F1C80" w:rsidP="00C8284C">
      <w:pPr>
        <w:spacing w:line="360" w:lineRule="auto"/>
        <w:jc w:val="both"/>
        <w:rPr>
          <w:rStyle w:val="sb8d990e2"/>
          <w:rFonts w:ascii="Times New Roman" w:hAnsi="Times New Roman" w:cs="Times New Roman"/>
          <w:i/>
          <w:sz w:val="24"/>
          <w:szCs w:val="24"/>
          <w:lang w:val="en-GB"/>
        </w:rPr>
      </w:pPr>
      <w:r w:rsidRPr="00C8284C">
        <w:rPr>
          <w:rFonts w:ascii="Times New Roman" w:hAnsi="Times New Roman" w:cs="Times New Roman"/>
          <w:sz w:val="24"/>
          <w:szCs w:val="24"/>
          <w:lang w:val="en-GB"/>
        </w:rPr>
        <w:t xml:space="preserve">These rights under </w:t>
      </w:r>
      <w:r w:rsidRPr="00C8284C">
        <w:rPr>
          <w:rStyle w:val="sb8d990e2"/>
          <w:rFonts w:ascii="Times New Roman" w:hAnsi="Times New Roman" w:cs="Times New Roman"/>
          <w:sz w:val="24"/>
          <w:szCs w:val="24"/>
          <w:lang w:val="en-GB"/>
        </w:rPr>
        <w:t>Article 3 of Protocol No. 1</w:t>
      </w:r>
      <w:r w:rsidRPr="00C8284C">
        <w:rPr>
          <w:rFonts w:ascii="Times New Roman" w:hAnsi="Times New Roman" w:cs="Times New Roman"/>
          <w:sz w:val="24"/>
          <w:szCs w:val="24"/>
          <w:lang w:val="en-GB"/>
        </w:rPr>
        <w:t xml:space="preserve">, however, are not absolute. The Court always acknowledged that </w:t>
      </w:r>
      <w:r w:rsidR="00182906" w:rsidRPr="00C8284C">
        <w:rPr>
          <w:rFonts w:ascii="Times New Roman" w:hAnsi="Times New Roman" w:cs="Times New Roman"/>
          <w:sz w:val="24"/>
          <w:szCs w:val="24"/>
          <w:lang w:val="en-GB"/>
        </w:rPr>
        <w:t>the right to vote and the right to stand for elections can be subject to limitations</w:t>
      </w:r>
      <w:r w:rsidR="00A2587A" w:rsidRPr="00C8284C">
        <w:rPr>
          <w:rStyle w:val="sb8d990e2"/>
          <w:rFonts w:ascii="Times New Roman" w:hAnsi="Times New Roman" w:cs="Times New Roman"/>
          <w:sz w:val="24"/>
          <w:szCs w:val="24"/>
          <w:lang w:val="en-GB"/>
        </w:rPr>
        <w:t xml:space="preserve">. </w:t>
      </w:r>
      <w:r w:rsidR="003045FE" w:rsidRPr="00C8284C">
        <w:rPr>
          <w:rStyle w:val="sb8d990e2"/>
          <w:rFonts w:ascii="Times New Roman" w:hAnsi="Times New Roman" w:cs="Times New Roman"/>
          <w:sz w:val="24"/>
          <w:szCs w:val="24"/>
          <w:lang w:val="en-GB"/>
        </w:rPr>
        <w:t>I</w:t>
      </w:r>
      <w:r w:rsidR="00A2587A" w:rsidRPr="00C8284C">
        <w:rPr>
          <w:rStyle w:val="sb8d990e2"/>
          <w:rFonts w:ascii="Times New Roman" w:hAnsi="Times New Roman" w:cs="Times New Roman"/>
          <w:sz w:val="24"/>
          <w:szCs w:val="24"/>
          <w:lang w:val="en-GB"/>
        </w:rPr>
        <w:t xml:space="preserve">n the </w:t>
      </w:r>
      <w:r w:rsidR="00A2587A" w:rsidRPr="00C8284C">
        <w:rPr>
          <w:rStyle w:val="sb8d990e2"/>
          <w:rFonts w:ascii="Times New Roman" w:hAnsi="Times New Roman" w:cs="Times New Roman"/>
          <w:i/>
          <w:sz w:val="24"/>
          <w:szCs w:val="24"/>
          <w:lang w:val="en-GB"/>
        </w:rPr>
        <w:t>Mathieu-Mohin</w:t>
      </w:r>
      <w:r w:rsidR="00A2587A" w:rsidRPr="00C8284C">
        <w:rPr>
          <w:rStyle w:val="sb8d990e2"/>
          <w:rFonts w:ascii="Times New Roman" w:hAnsi="Times New Roman" w:cs="Times New Roman"/>
          <w:sz w:val="24"/>
          <w:szCs w:val="24"/>
          <w:lang w:val="en-GB"/>
        </w:rPr>
        <w:t xml:space="preserve"> judgment</w:t>
      </w:r>
      <w:r w:rsidR="007B75E1" w:rsidRPr="00C8284C">
        <w:rPr>
          <w:rStyle w:val="sb8d990e2"/>
          <w:rFonts w:ascii="Times New Roman" w:hAnsi="Times New Roman" w:cs="Times New Roman"/>
          <w:sz w:val="24"/>
          <w:szCs w:val="24"/>
          <w:lang w:val="en-GB"/>
        </w:rPr>
        <w:t>, mentioned above,</w:t>
      </w:r>
      <w:r w:rsidR="003045FE" w:rsidRPr="00C8284C">
        <w:rPr>
          <w:rStyle w:val="sb8d990e2"/>
          <w:rFonts w:ascii="Times New Roman" w:hAnsi="Times New Roman" w:cs="Times New Roman"/>
          <w:sz w:val="24"/>
          <w:szCs w:val="24"/>
          <w:lang w:val="en-GB"/>
        </w:rPr>
        <w:t xml:space="preserve"> the Court explained it the following way</w:t>
      </w:r>
      <w:r w:rsidR="00A2587A" w:rsidRPr="00C8284C">
        <w:rPr>
          <w:rStyle w:val="sb8d990e2"/>
          <w:rFonts w:ascii="Times New Roman" w:hAnsi="Times New Roman" w:cs="Times New Roman"/>
          <w:sz w:val="24"/>
          <w:szCs w:val="24"/>
          <w:lang w:val="en-GB"/>
        </w:rPr>
        <w:t>, “</w:t>
      </w:r>
      <w:r w:rsidR="00A2587A" w:rsidRPr="00C8284C">
        <w:rPr>
          <w:rStyle w:val="sb8d990e2"/>
          <w:rFonts w:ascii="Times New Roman" w:hAnsi="Times New Roman" w:cs="Times New Roman"/>
          <w:i/>
          <w:sz w:val="24"/>
          <w:szCs w:val="24"/>
          <w:lang w:val="en-GB"/>
        </w:rPr>
        <w:t>since Article 3 recognises them</w:t>
      </w:r>
      <w:r w:rsidR="003045FE" w:rsidRPr="00C8284C">
        <w:rPr>
          <w:rStyle w:val="sb8d990e2"/>
          <w:rFonts w:ascii="Times New Roman" w:hAnsi="Times New Roman" w:cs="Times New Roman"/>
          <w:i/>
          <w:sz w:val="24"/>
          <w:szCs w:val="24"/>
          <w:lang w:val="en-GB"/>
        </w:rPr>
        <w:t xml:space="preserve"> [these rights]</w:t>
      </w:r>
      <w:r w:rsidR="00A2587A" w:rsidRPr="00C8284C">
        <w:rPr>
          <w:rStyle w:val="sb8d990e2"/>
          <w:rFonts w:ascii="Times New Roman" w:hAnsi="Times New Roman" w:cs="Times New Roman"/>
          <w:i/>
          <w:sz w:val="24"/>
          <w:szCs w:val="24"/>
          <w:lang w:val="en-GB"/>
        </w:rPr>
        <w:t xml:space="preserve"> without setting them forth in express terms, let alone defining them, there is room for implied limitations. In their internal legal orders the Contracting States make the rights to vote and to stand for election subject to conditions which are not in principle precluded under Article 3. They have a wide margin of appreciation in this sphere, but it is for the Court to determine in the last resort whether the requirements of Protocol No. 1 have been complied with;</w:t>
      </w:r>
      <w:r w:rsidR="003045FE" w:rsidRPr="00C8284C">
        <w:rPr>
          <w:rStyle w:val="sb8d990e2"/>
          <w:rFonts w:ascii="Times New Roman" w:hAnsi="Times New Roman" w:cs="Times New Roman"/>
          <w:i/>
          <w:sz w:val="24"/>
          <w:szCs w:val="24"/>
          <w:lang w:val="en-GB"/>
        </w:rPr>
        <w:t>…”</w:t>
      </w:r>
      <w:r w:rsidR="007B75E1" w:rsidRPr="00C8284C">
        <w:rPr>
          <w:rStyle w:val="Appelnotedebasdep"/>
          <w:rFonts w:ascii="Times New Roman" w:hAnsi="Times New Roman" w:cs="Times New Roman"/>
          <w:i/>
          <w:sz w:val="24"/>
          <w:szCs w:val="24"/>
          <w:lang w:val="en-GB"/>
        </w:rPr>
        <w:footnoteReference w:id="15"/>
      </w:r>
    </w:p>
    <w:p w:rsidR="00D14733" w:rsidRPr="00C8284C" w:rsidRDefault="00D14733"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According to this concept</w:t>
      </w:r>
      <w:r w:rsidR="00B7782B" w:rsidRPr="00C8284C">
        <w:rPr>
          <w:rFonts w:ascii="Times New Roman" w:hAnsi="Times New Roman" w:cs="Times New Roman"/>
          <w:sz w:val="24"/>
          <w:szCs w:val="24"/>
          <w:lang w:val="en-GB"/>
        </w:rPr>
        <w:t xml:space="preserve"> of “implied limitations”</w:t>
      </w:r>
      <w:r w:rsidRPr="00C8284C">
        <w:rPr>
          <w:rFonts w:ascii="Times New Roman" w:hAnsi="Times New Roman" w:cs="Times New Roman"/>
          <w:sz w:val="24"/>
          <w:szCs w:val="24"/>
          <w:lang w:val="en-GB"/>
        </w:rPr>
        <w:t xml:space="preserve">, the Contracting States are free to rely on any aim to justify a restriction, provided the compatibility of that aim with the principle of the rule of law and the general objectives of the Convention in the particular circumstances of a case. </w:t>
      </w:r>
      <w:r w:rsidR="009240A3" w:rsidRPr="00C8284C">
        <w:rPr>
          <w:rFonts w:ascii="Times New Roman" w:hAnsi="Times New Roman" w:cs="Times New Roman"/>
          <w:sz w:val="24"/>
          <w:szCs w:val="24"/>
          <w:lang w:val="en-GB"/>
        </w:rPr>
        <w:t>In</w:t>
      </w:r>
      <w:r w:rsidRPr="00C8284C">
        <w:rPr>
          <w:rFonts w:ascii="Times New Roman" w:hAnsi="Times New Roman" w:cs="Times New Roman"/>
          <w:sz w:val="24"/>
          <w:szCs w:val="24"/>
          <w:lang w:val="en-GB"/>
        </w:rPr>
        <w:t xml:space="preserve"> assessing restrictions on electoral rights, the Court </w:t>
      </w:r>
      <w:r w:rsidR="009240A3" w:rsidRPr="00C8284C">
        <w:rPr>
          <w:rFonts w:ascii="Times New Roman" w:hAnsi="Times New Roman" w:cs="Times New Roman"/>
          <w:sz w:val="24"/>
          <w:szCs w:val="24"/>
          <w:lang w:val="en-GB"/>
        </w:rPr>
        <w:t>looks into</w:t>
      </w:r>
      <w:r w:rsidRPr="00C8284C">
        <w:rPr>
          <w:rFonts w:ascii="Times New Roman" w:hAnsi="Times New Roman" w:cs="Times New Roman"/>
          <w:sz w:val="24"/>
          <w:szCs w:val="24"/>
          <w:lang w:val="en-GB"/>
        </w:rPr>
        <w:t xml:space="preserve"> </w:t>
      </w:r>
      <w:r w:rsidR="009240A3" w:rsidRPr="00C8284C">
        <w:rPr>
          <w:rFonts w:ascii="Times New Roman" w:hAnsi="Times New Roman" w:cs="Times New Roman"/>
          <w:sz w:val="24"/>
          <w:szCs w:val="24"/>
          <w:lang w:val="en-GB"/>
        </w:rPr>
        <w:t>“</w:t>
      </w:r>
      <w:r w:rsidR="009240A3" w:rsidRPr="00C8284C">
        <w:rPr>
          <w:rFonts w:ascii="Times New Roman" w:hAnsi="Times New Roman" w:cs="Times New Roman"/>
          <w:i/>
          <w:sz w:val="24"/>
          <w:szCs w:val="24"/>
          <w:lang w:val="en-GB"/>
        </w:rPr>
        <w:t>whether there has been arbitrariness or a lack of proportionality, and whether the restriction has interfered with the free expression of the opinion of the people</w:t>
      </w:r>
      <w:r w:rsidR="009240A3" w:rsidRPr="00C8284C">
        <w:rPr>
          <w:rFonts w:ascii="Times New Roman" w:hAnsi="Times New Roman" w:cs="Times New Roman"/>
          <w:sz w:val="24"/>
          <w:szCs w:val="24"/>
          <w:lang w:val="en-GB"/>
        </w:rPr>
        <w:t>”</w:t>
      </w:r>
      <w:r w:rsidR="009240A3" w:rsidRPr="00C8284C">
        <w:rPr>
          <w:rStyle w:val="Appelnotedebasdep"/>
          <w:rFonts w:ascii="Times New Roman" w:hAnsi="Times New Roman" w:cs="Times New Roman"/>
          <w:sz w:val="24"/>
          <w:szCs w:val="24"/>
          <w:lang w:val="en-GB"/>
        </w:rPr>
        <w:footnoteReference w:id="16"/>
      </w:r>
      <w:r w:rsidRPr="00C8284C">
        <w:rPr>
          <w:rFonts w:ascii="Times New Roman" w:hAnsi="Times New Roman" w:cs="Times New Roman"/>
          <w:sz w:val="24"/>
          <w:szCs w:val="24"/>
          <w:lang w:val="en-GB"/>
        </w:rPr>
        <w:t>.</w:t>
      </w:r>
    </w:p>
    <w:p w:rsidR="00D14733" w:rsidRPr="00C8284C" w:rsidRDefault="004063F7" w:rsidP="00C8284C">
      <w:pPr>
        <w:pStyle w:val="ECHRPara"/>
        <w:spacing w:line="360" w:lineRule="auto"/>
        <w:rPr>
          <w:rFonts w:ascii="Times New Roman" w:hAnsi="Times New Roman"/>
          <w:sz w:val="24"/>
          <w:lang w:val="en-GB" w:eastAsia="fr-FR"/>
        </w:rPr>
      </w:pPr>
      <w:r w:rsidRPr="00C8284C">
        <w:rPr>
          <w:rFonts w:ascii="Times New Roman" w:hAnsi="Times New Roman" w:cs="Times New Roman"/>
          <w:sz w:val="24"/>
          <w:szCs w:val="24"/>
          <w:lang w:val="en-GB"/>
        </w:rPr>
        <w:t xml:space="preserve">The Court does respect cultural and historical differences which affected the creation and development of the </w:t>
      </w:r>
      <w:r w:rsidRPr="00C8284C">
        <w:rPr>
          <w:rFonts w:ascii="Times New Roman" w:hAnsi="Times New Roman" w:cs="Times New Roman"/>
          <w:i/>
          <w:sz w:val="24"/>
          <w:szCs w:val="24"/>
          <w:lang w:val="en-GB"/>
        </w:rPr>
        <w:t>own democratic vision</w:t>
      </w:r>
      <w:r w:rsidRPr="00C8284C">
        <w:rPr>
          <w:rFonts w:ascii="Times New Roman" w:hAnsi="Times New Roman" w:cs="Times New Roman"/>
          <w:sz w:val="24"/>
          <w:szCs w:val="24"/>
          <w:lang w:val="en-GB"/>
        </w:rPr>
        <w:t xml:space="preserve"> of each Contracting State</w:t>
      </w:r>
      <w:r w:rsidRPr="00C8284C">
        <w:rPr>
          <w:rStyle w:val="Appelnotedebasdep"/>
          <w:rFonts w:ascii="Times New Roman" w:hAnsi="Times New Roman" w:cs="Times New Roman"/>
          <w:sz w:val="24"/>
          <w:szCs w:val="24"/>
          <w:lang w:val="en-GB"/>
        </w:rPr>
        <w:footnoteReference w:id="17"/>
      </w:r>
      <w:r w:rsidRPr="00C8284C">
        <w:rPr>
          <w:rFonts w:ascii="Times New Roman" w:hAnsi="Times New Roman" w:cs="Times New Roman"/>
          <w:sz w:val="24"/>
          <w:szCs w:val="24"/>
          <w:lang w:val="en-GB"/>
        </w:rPr>
        <w:t xml:space="preserve">. It, nevertheless, as mentioned above, checks that any conditions related to elections do </w:t>
      </w:r>
      <w:r w:rsidR="00D14733" w:rsidRPr="00C8284C">
        <w:rPr>
          <w:rFonts w:ascii="Times New Roman" w:hAnsi="Times New Roman" w:cs="Times New Roman"/>
          <w:sz w:val="24"/>
          <w:szCs w:val="24"/>
          <w:lang w:val="en-GB"/>
        </w:rPr>
        <w:t>not thwart the free expression of the people in the choice of the legislature</w:t>
      </w:r>
      <w:r w:rsidRPr="00C8284C">
        <w:rPr>
          <w:rFonts w:ascii="Times New Roman" w:hAnsi="Times New Roman" w:cs="Times New Roman"/>
          <w:sz w:val="24"/>
          <w:szCs w:val="24"/>
          <w:lang w:val="en-GB"/>
        </w:rPr>
        <w:t>.</w:t>
      </w:r>
      <w:r w:rsidR="00D14733" w:rsidRPr="00C8284C">
        <w:rPr>
          <w:rFonts w:ascii="Times New Roman" w:hAnsi="Times New Roman" w:cs="Times New Roman"/>
          <w:sz w:val="24"/>
          <w:szCs w:val="24"/>
          <w:lang w:val="en-GB"/>
        </w:rPr>
        <w:t xml:space="preserve"> </w:t>
      </w:r>
      <w:r w:rsidR="000273AF" w:rsidRPr="00C8284C">
        <w:rPr>
          <w:rFonts w:ascii="Times New Roman" w:hAnsi="Times New Roman" w:cs="Times New Roman"/>
          <w:sz w:val="24"/>
          <w:szCs w:val="24"/>
          <w:lang w:val="en-GB"/>
        </w:rPr>
        <w:t xml:space="preserve">The Court had accepted some such conditions, as </w:t>
      </w:r>
      <w:r w:rsidR="00D14733" w:rsidRPr="00C8284C">
        <w:rPr>
          <w:rFonts w:ascii="Times New Roman" w:hAnsi="Times New Roman" w:cs="Times New Roman"/>
          <w:sz w:val="24"/>
          <w:szCs w:val="24"/>
          <w:lang w:val="en-GB"/>
        </w:rPr>
        <w:t xml:space="preserve">a minimum age </w:t>
      </w:r>
      <w:r w:rsidR="000273AF" w:rsidRPr="00C8284C">
        <w:rPr>
          <w:rFonts w:ascii="Times New Roman" w:hAnsi="Times New Roman" w:cs="Times New Roman"/>
          <w:sz w:val="24"/>
          <w:szCs w:val="24"/>
          <w:lang w:val="en-GB"/>
        </w:rPr>
        <w:t>or</w:t>
      </w:r>
      <w:r w:rsidR="00D14733" w:rsidRPr="00C8284C">
        <w:rPr>
          <w:rFonts w:ascii="Times New Roman" w:hAnsi="Times New Roman" w:cs="Times New Roman"/>
          <w:sz w:val="24"/>
          <w:szCs w:val="24"/>
          <w:lang w:val="en-GB"/>
        </w:rPr>
        <w:t xml:space="preserve"> residence</w:t>
      </w:r>
      <w:r w:rsidR="000273AF" w:rsidRPr="00C8284C">
        <w:rPr>
          <w:rFonts w:ascii="Times New Roman" w:hAnsi="Times New Roman" w:cs="Times New Roman"/>
          <w:sz w:val="24"/>
          <w:szCs w:val="24"/>
          <w:lang w:val="en-GB"/>
        </w:rPr>
        <w:t xml:space="preserve"> requirement</w:t>
      </w:r>
      <w:r w:rsidR="00457887" w:rsidRPr="00834A27">
        <w:rPr>
          <w:rFonts w:ascii="Times New Roman" w:hAnsi="Times New Roman" w:cs="Times New Roman"/>
          <w:sz w:val="24"/>
          <w:szCs w:val="24"/>
          <w:lang w:val="en-GB"/>
        </w:rPr>
        <w:t>.</w:t>
      </w:r>
      <w:r w:rsidR="00834A27" w:rsidRPr="00834A27">
        <w:rPr>
          <w:rStyle w:val="sf1c7242d"/>
          <w:rFonts w:ascii="Times New Roman" w:hAnsi="Times New Roman" w:cs="Times New Roman"/>
          <w:sz w:val="24"/>
          <w:szCs w:val="24"/>
        </w:rPr>
        <w:t xml:space="preserve"> </w:t>
      </w:r>
      <w:r w:rsidR="00834A27" w:rsidRPr="00834A27">
        <w:rPr>
          <w:rStyle w:val="sb8d990e2"/>
          <w:rFonts w:ascii="Times New Roman" w:hAnsi="Times New Roman" w:cs="Times New Roman"/>
          <w:sz w:val="24"/>
          <w:szCs w:val="24"/>
        </w:rPr>
        <w:t>The imposition of a minimum age</w:t>
      </w:r>
      <w:r w:rsidR="00834A27">
        <w:rPr>
          <w:rStyle w:val="sb8d990e2"/>
          <w:rFonts w:ascii="Times New Roman" w:hAnsi="Times New Roman" w:cs="Times New Roman"/>
          <w:sz w:val="24"/>
          <w:szCs w:val="24"/>
        </w:rPr>
        <w:t xml:space="preserve">, for example, was accepted to </w:t>
      </w:r>
      <w:r w:rsidR="00834A27" w:rsidRPr="00834A27">
        <w:rPr>
          <w:rStyle w:val="sb8d990e2"/>
          <w:rFonts w:ascii="Times New Roman" w:hAnsi="Times New Roman" w:cs="Times New Roman"/>
          <w:sz w:val="24"/>
          <w:szCs w:val="24"/>
        </w:rPr>
        <w:t xml:space="preserve">be </w:t>
      </w:r>
      <w:r w:rsidR="00834A27">
        <w:rPr>
          <w:rStyle w:val="sb8d990e2"/>
          <w:rFonts w:ascii="Times New Roman" w:hAnsi="Times New Roman" w:cs="Times New Roman"/>
          <w:sz w:val="24"/>
          <w:szCs w:val="24"/>
        </w:rPr>
        <w:t>necessary</w:t>
      </w:r>
      <w:r w:rsidR="00834A27" w:rsidRPr="00834A27">
        <w:rPr>
          <w:rStyle w:val="sb8d990e2"/>
          <w:rFonts w:ascii="Times New Roman" w:hAnsi="Times New Roman" w:cs="Times New Roman"/>
          <w:sz w:val="24"/>
          <w:szCs w:val="24"/>
        </w:rPr>
        <w:t xml:space="preserve"> to ensur</w:t>
      </w:r>
      <w:r w:rsidR="00834A27">
        <w:rPr>
          <w:rStyle w:val="sb8d990e2"/>
          <w:rFonts w:ascii="Times New Roman" w:hAnsi="Times New Roman" w:cs="Times New Roman"/>
          <w:sz w:val="24"/>
          <w:szCs w:val="24"/>
        </w:rPr>
        <w:t>e</w:t>
      </w:r>
      <w:r w:rsidR="00834A27" w:rsidRPr="00834A27">
        <w:rPr>
          <w:rStyle w:val="sb8d990e2"/>
          <w:rFonts w:ascii="Times New Roman" w:hAnsi="Times New Roman" w:cs="Times New Roman"/>
          <w:sz w:val="24"/>
          <w:szCs w:val="24"/>
        </w:rPr>
        <w:t xml:space="preserve"> the maturity of those participating in the electoral process</w:t>
      </w:r>
      <w:r w:rsidR="00834A27">
        <w:rPr>
          <w:rStyle w:val="sb8d990e2"/>
          <w:rFonts w:ascii="Times New Roman" w:hAnsi="Times New Roman" w:cs="Times New Roman"/>
          <w:sz w:val="24"/>
          <w:szCs w:val="24"/>
        </w:rPr>
        <w:t>.</w:t>
      </w:r>
      <w:r w:rsidR="000273AF" w:rsidRPr="00834A27">
        <w:rPr>
          <w:rStyle w:val="Appelnotedebasdep"/>
          <w:rFonts w:ascii="Times New Roman" w:hAnsi="Times New Roman" w:cs="Times New Roman"/>
          <w:sz w:val="24"/>
          <w:szCs w:val="24"/>
          <w:lang w:val="en-GB"/>
        </w:rPr>
        <w:footnoteReference w:id="18"/>
      </w:r>
      <w:r w:rsidR="000273AF" w:rsidRPr="00834A27">
        <w:rPr>
          <w:rFonts w:ascii="Times New Roman" w:hAnsi="Times New Roman" w:cs="Times New Roman"/>
          <w:sz w:val="24"/>
          <w:szCs w:val="24"/>
          <w:lang w:val="en-GB" w:eastAsia="fr-FR"/>
        </w:rPr>
        <w:t xml:space="preserve"> </w:t>
      </w:r>
      <w:r w:rsidR="000273AF" w:rsidRPr="00834A27">
        <w:rPr>
          <w:rFonts w:ascii="Times New Roman" w:hAnsi="Times New Roman" w:cs="Times New Roman"/>
          <w:sz w:val="24"/>
          <w:szCs w:val="24"/>
          <w:lang w:val="en-GB"/>
        </w:rPr>
        <w:t>In</w:t>
      </w:r>
      <w:r w:rsidR="000273AF" w:rsidRPr="00C8284C">
        <w:rPr>
          <w:rFonts w:ascii="Times New Roman" w:hAnsi="Times New Roman" w:cs="Times New Roman"/>
          <w:sz w:val="24"/>
          <w:szCs w:val="24"/>
          <w:lang w:val="en-GB"/>
        </w:rPr>
        <w:t xml:space="preserve"> other cases, described below, such conditions </w:t>
      </w:r>
      <w:r w:rsidR="00165966">
        <w:rPr>
          <w:rFonts w:ascii="Times New Roman" w:hAnsi="Times New Roman" w:cs="Times New Roman"/>
          <w:sz w:val="24"/>
          <w:szCs w:val="24"/>
          <w:lang w:val="en-GB"/>
        </w:rPr>
        <w:t xml:space="preserve">or manner of their imposition </w:t>
      </w:r>
      <w:r w:rsidR="000273AF" w:rsidRPr="00C8284C">
        <w:rPr>
          <w:rFonts w:ascii="Times New Roman" w:hAnsi="Times New Roman" w:cs="Times New Roman"/>
          <w:sz w:val="24"/>
          <w:szCs w:val="24"/>
          <w:lang w:val="en-GB"/>
        </w:rPr>
        <w:t xml:space="preserve">had been found contrary to </w:t>
      </w:r>
      <w:r w:rsidR="00D14733" w:rsidRPr="00C8284C">
        <w:rPr>
          <w:rFonts w:ascii="Times New Roman" w:hAnsi="Times New Roman" w:cs="Times New Roman"/>
          <w:sz w:val="24"/>
          <w:szCs w:val="24"/>
          <w:lang w:val="en-GB"/>
        </w:rPr>
        <w:t>Article 3 of Protocol No. 1.</w:t>
      </w:r>
    </w:p>
    <w:p w:rsidR="00D14733" w:rsidRPr="00C8284C" w:rsidRDefault="00D14733" w:rsidP="00C8284C">
      <w:pPr>
        <w:spacing w:line="360" w:lineRule="auto"/>
        <w:jc w:val="both"/>
        <w:rPr>
          <w:rFonts w:ascii="Times New Roman" w:hAnsi="Times New Roman" w:cs="Times New Roman"/>
          <w:sz w:val="24"/>
          <w:szCs w:val="24"/>
          <w:lang w:val="en-GB"/>
        </w:rPr>
      </w:pPr>
    </w:p>
    <w:p w:rsidR="00D14733" w:rsidRPr="00C8284C" w:rsidRDefault="00D14733"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(a)  Right to vote</w:t>
      </w:r>
    </w:p>
    <w:p w:rsidR="00C8284C" w:rsidRPr="00C8284C" w:rsidRDefault="00C8284C" w:rsidP="00C8284C">
      <w:pPr>
        <w:spacing w:line="360" w:lineRule="auto"/>
        <w:jc w:val="both"/>
        <w:rPr>
          <w:rFonts w:ascii="Times New Roman" w:hAnsi="Times New Roman" w:cs="Times New Roman"/>
          <w:b/>
          <w:sz w:val="24"/>
          <w:szCs w:val="24"/>
          <w:lang w:val="en-GB"/>
        </w:rPr>
      </w:pPr>
    </w:p>
    <w:p w:rsidR="00D14733" w:rsidRPr="00C8284C" w:rsidRDefault="00D14733"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While some of the restrictions</w:t>
      </w:r>
      <w:r w:rsidR="00AA15B3" w:rsidRPr="00C8284C">
        <w:rPr>
          <w:rFonts w:ascii="Times New Roman" w:hAnsi="Times New Roman" w:cs="Times New Roman"/>
          <w:sz w:val="24"/>
          <w:szCs w:val="24"/>
          <w:lang w:val="en-GB"/>
        </w:rPr>
        <w:t>, as mentioned above,</w:t>
      </w:r>
      <w:r w:rsidRPr="00C8284C">
        <w:rPr>
          <w:rFonts w:ascii="Times New Roman" w:hAnsi="Times New Roman" w:cs="Times New Roman"/>
          <w:sz w:val="24"/>
          <w:szCs w:val="24"/>
          <w:lang w:val="en-GB"/>
        </w:rPr>
        <w:t xml:space="preserve"> are considered </w:t>
      </w:r>
      <w:r w:rsidR="00AA15B3" w:rsidRPr="00C8284C">
        <w:rPr>
          <w:rFonts w:ascii="Times New Roman" w:hAnsi="Times New Roman" w:cs="Times New Roman"/>
          <w:sz w:val="24"/>
          <w:szCs w:val="24"/>
          <w:lang w:val="en-GB"/>
        </w:rPr>
        <w:t xml:space="preserve">to be </w:t>
      </w:r>
      <w:r w:rsidRPr="00C8284C">
        <w:rPr>
          <w:rFonts w:ascii="Times New Roman" w:hAnsi="Times New Roman" w:cs="Times New Roman"/>
          <w:sz w:val="24"/>
          <w:szCs w:val="24"/>
          <w:lang w:val="en-GB"/>
        </w:rPr>
        <w:t>compatible with the principles enshrined in Article 3 of Protocol No. 1, the Court</w:t>
      </w:r>
      <w:r w:rsidR="00AA15B3" w:rsidRPr="00C8284C">
        <w:rPr>
          <w:rFonts w:ascii="Times New Roman" w:hAnsi="Times New Roman" w:cs="Times New Roman"/>
          <w:sz w:val="24"/>
          <w:szCs w:val="24"/>
          <w:lang w:val="en-GB"/>
        </w:rPr>
        <w:t xml:space="preserve"> constantly held that “</w:t>
      </w:r>
      <w:r w:rsidR="00AA15B3" w:rsidRPr="00C8284C">
        <w:rPr>
          <w:rFonts w:ascii="Times New Roman" w:hAnsi="Times New Roman" w:cs="Times New Roman"/>
          <w:i/>
          <w:sz w:val="24"/>
          <w:szCs w:val="24"/>
          <w:lang w:val="en-GB"/>
        </w:rPr>
        <w:t>any departure from the principle of universal suffrage risks undermining the democratic validity of the legislature thus elected and the laws it promulgates. Exclusion of any groups or categories of the general population must accordingly be reconcilable with the underlying purposes of Article 3 of Protocol No. 1</w:t>
      </w:r>
      <w:r w:rsidR="00AA15B3" w:rsidRPr="00C8284C">
        <w:rPr>
          <w:rFonts w:ascii="Times New Roman" w:hAnsi="Times New Roman" w:cs="Times New Roman"/>
          <w:sz w:val="24"/>
          <w:szCs w:val="24"/>
          <w:lang w:val="en-GB"/>
        </w:rPr>
        <w:t>”</w:t>
      </w:r>
      <w:r w:rsidR="00AA15B3" w:rsidRPr="00C8284C">
        <w:rPr>
          <w:rStyle w:val="Appelnotedebasdep"/>
          <w:rFonts w:ascii="Times New Roman" w:hAnsi="Times New Roman" w:cs="Times New Roman"/>
          <w:sz w:val="24"/>
          <w:szCs w:val="24"/>
          <w:lang w:val="en-GB"/>
        </w:rPr>
        <w:footnoteReference w:id="19"/>
      </w:r>
    </w:p>
    <w:p w:rsidR="00D14733" w:rsidRPr="00C8284C" w:rsidRDefault="00662439"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In the quoted </w:t>
      </w:r>
      <w:r w:rsidRPr="009E0C76">
        <w:rPr>
          <w:rFonts w:ascii="Times New Roman" w:hAnsi="Times New Roman" w:cs="Times New Roman"/>
          <w:i/>
          <w:sz w:val="24"/>
          <w:szCs w:val="24"/>
          <w:lang w:val="en-GB"/>
        </w:rPr>
        <w:t>Hirst v. the United Kingdom (no. 2)</w:t>
      </w:r>
      <w:r w:rsidRPr="00C8284C">
        <w:rPr>
          <w:rFonts w:ascii="Times New Roman" w:hAnsi="Times New Roman" w:cs="Times New Roman"/>
          <w:sz w:val="24"/>
          <w:szCs w:val="24"/>
          <w:lang w:val="en-GB"/>
        </w:rPr>
        <w:t xml:space="preserve"> case, the Court decided that despite previous case-law on acceptability of </w:t>
      </w:r>
      <w:r w:rsidRPr="00C8284C">
        <w:rPr>
          <w:rFonts w:ascii="Times New Roman" w:hAnsi="Times New Roman" w:cs="Times New Roman"/>
          <w:b/>
          <w:sz w:val="24"/>
          <w:szCs w:val="24"/>
          <w:lang w:val="en-GB"/>
        </w:rPr>
        <w:t>restrictions on the right to vote related to criminal conviction</w:t>
      </w:r>
      <w:r w:rsidRPr="00C8284C">
        <w:rPr>
          <w:rFonts w:ascii="Times New Roman" w:hAnsi="Times New Roman" w:cs="Times New Roman"/>
          <w:sz w:val="24"/>
          <w:szCs w:val="24"/>
          <w:lang w:val="en-GB"/>
        </w:rPr>
        <w:t xml:space="preserve">, such restrictions should not constitute a general and automatic disenfranchisement of convicted prisoners </w:t>
      </w:r>
      <w:r w:rsidR="00D14733" w:rsidRPr="00C8284C">
        <w:rPr>
          <w:rFonts w:ascii="Times New Roman" w:hAnsi="Times New Roman" w:cs="Times New Roman"/>
          <w:sz w:val="24"/>
          <w:szCs w:val="24"/>
          <w:lang w:val="en-GB"/>
        </w:rPr>
        <w:t>without having due regard to relevant matters such as the length of the prisoner’s sentence or the nature and gravity of the offence.</w:t>
      </w:r>
      <w:r w:rsidRPr="00C8284C">
        <w:rPr>
          <w:rFonts w:ascii="Times New Roman" w:hAnsi="Times New Roman" w:cs="Times New Roman"/>
          <w:sz w:val="24"/>
          <w:szCs w:val="24"/>
          <w:lang w:val="en-GB"/>
        </w:rPr>
        <w:t xml:space="preserve"> </w:t>
      </w:r>
      <w:r w:rsidR="00182906" w:rsidRPr="00C8284C">
        <w:rPr>
          <w:rFonts w:ascii="Times New Roman" w:hAnsi="Times New Roman" w:cs="Times New Roman"/>
          <w:sz w:val="24"/>
          <w:szCs w:val="24"/>
          <w:lang w:val="en-GB"/>
        </w:rPr>
        <w:t>I</w:t>
      </w:r>
      <w:r w:rsidR="00D14733" w:rsidRPr="00C8284C">
        <w:rPr>
          <w:rFonts w:ascii="Times New Roman" w:hAnsi="Times New Roman" w:cs="Times New Roman"/>
          <w:sz w:val="24"/>
          <w:szCs w:val="24"/>
          <w:lang w:val="en-GB"/>
        </w:rPr>
        <w:t xml:space="preserve">n a more recent case of </w:t>
      </w:r>
      <w:r w:rsidR="00D14733" w:rsidRPr="009E0C76">
        <w:rPr>
          <w:rFonts w:ascii="Times New Roman" w:hAnsi="Times New Roman" w:cs="Times New Roman"/>
          <w:i/>
          <w:sz w:val="24"/>
          <w:szCs w:val="24"/>
          <w:lang w:val="en-GB"/>
        </w:rPr>
        <w:t>Scoppola v. Italy (no. 3)</w:t>
      </w:r>
      <w:r w:rsidR="00D14733" w:rsidRPr="00C8284C">
        <w:rPr>
          <w:rFonts w:ascii="Times New Roman" w:hAnsi="Times New Roman" w:cs="Times New Roman"/>
          <w:sz w:val="24"/>
          <w:szCs w:val="24"/>
          <w:lang w:val="en-GB"/>
        </w:rPr>
        <w:t xml:space="preserve">, the </w:t>
      </w:r>
      <w:r w:rsidRPr="00C8284C">
        <w:rPr>
          <w:rFonts w:ascii="Times New Roman" w:hAnsi="Times New Roman" w:cs="Times New Roman"/>
          <w:sz w:val="24"/>
          <w:szCs w:val="24"/>
          <w:lang w:val="en-GB"/>
        </w:rPr>
        <w:t xml:space="preserve">Court </w:t>
      </w:r>
      <w:r w:rsidR="00D14733" w:rsidRPr="00C8284C">
        <w:rPr>
          <w:rFonts w:ascii="Times New Roman" w:hAnsi="Times New Roman" w:cs="Times New Roman"/>
          <w:sz w:val="24"/>
          <w:szCs w:val="24"/>
          <w:lang w:val="en-GB"/>
        </w:rPr>
        <w:t>held that “</w:t>
      </w:r>
      <w:r w:rsidR="00414E60" w:rsidRPr="00C8284C">
        <w:rPr>
          <w:rStyle w:val="JuParaCar"/>
          <w:rFonts w:ascii="Times New Roman" w:eastAsiaTheme="minorHAnsi" w:hAnsi="Times New Roman" w:cs="Times New Roman"/>
          <w:i/>
          <w:szCs w:val="24"/>
          <w:lang w:val="en-GB"/>
        </w:rPr>
        <w:t xml:space="preserve">the Contracting States may decide either to leave it to the courts to determine the proportionality of a measure restricting convicted prisoners’ voting rights, or to incorporate provisions into their laws defining the circumstances in which such a measure should be applied. In this latter case, it will be for the legislature itself to balance the competing interests in order to avoid any general, </w:t>
      </w:r>
      <w:r w:rsidR="00414E60" w:rsidRPr="00C8284C">
        <w:rPr>
          <w:rFonts w:ascii="Times New Roman" w:hAnsi="Times New Roman" w:cs="Times New Roman"/>
          <w:i/>
          <w:sz w:val="24"/>
          <w:szCs w:val="24"/>
          <w:lang w:val="en-GB"/>
        </w:rPr>
        <w:t xml:space="preserve">automatic and indiscriminate </w:t>
      </w:r>
      <w:r w:rsidR="00414E60" w:rsidRPr="00C8284C">
        <w:rPr>
          <w:rStyle w:val="JuParaCar"/>
          <w:rFonts w:ascii="Times New Roman" w:eastAsiaTheme="minorHAnsi" w:hAnsi="Times New Roman" w:cs="Times New Roman"/>
          <w:i/>
          <w:szCs w:val="24"/>
          <w:lang w:val="en-GB"/>
        </w:rPr>
        <w:t xml:space="preserve">restriction. It will then be the role of the Court </w:t>
      </w:r>
      <w:r w:rsidR="00414E60" w:rsidRPr="00C8284C">
        <w:rPr>
          <w:rFonts w:ascii="Times New Roman" w:hAnsi="Times New Roman" w:cs="Times New Roman"/>
          <w:bCs/>
          <w:i/>
          <w:color w:val="000000"/>
          <w:sz w:val="24"/>
          <w:szCs w:val="24"/>
          <w:lang w:val="en-GB"/>
        </w:rPr>
        <w:t>to examine whether, in a given case, this result was achieved and whether the wording of the law, or the judicial decision, was in compliance with Article 3 of Protocol No. 1</w:t>
      </w:r>
      <w:r w:rsidR="00D14733" w:rsidRPr="00C8284C">
        <w:rPr>
          <w:rFonts w:ascii="Times New Roman" w:hAnsi="Times New Roman" w:cs="Times New Roman"/>
          <w:sz w:val="24"/>
          <w:szCs w:val="24"/>
          <w:lang w:val="en-GB"/>
        </w:rPr>
        <w:t>”</w:t>
      </w:r>
      <w:r w:rsidRPr="00C8284C">
        <w:rPr>
          <w:rStyle w:val="Appelnotedebasdep"/>
          <w:rFonts w:ascii="Times New Roman" w:hAnsi="Times New Roman" w:cs="Times New Roman"/>
          <w:sz w:val="24"/>
          <w:szCs w:val="24"/>
          <w:lang w:val="en-GB"/>
        </w:rPr>
        <w:footnoteReference w:id="20"/>
      </w:r>
      <w:r w:rsidR="00D14733" w:rsidRPr="00C8284C">
        <w:rPr>
          <w:rFonts w:ascii="Times New Roman" w:hAnsi="Times New Roman" w:cs="Times New Roman"/>
          <w:sz w:val="24"/>
          <w:szCs w:val="24"/>
          <w:lang w:val="en-GB"/>
        </w:rPr>
        <w:t>.</w:t>
      </w:r>
    </w:p>
    <w:p w:rsidR="00FA07C0" w:rsidRPr="00C8284C" w:rsidRDefault="00FA07C0" w:rsidP="00C8284C">
      <w:pPr>
        <w:spacing w:line="360" w:lineRule="auto"/>
        <w:jc w:val="both"/>
        <w:rPr>
          <w:rFonts w:ascii="Times New Roman" w:hAnsi="Times New Roman" w:cs="Times New Roman"/>
          <w:i/>
          <w:sz w:val="24"/>
          <w:szCs w:val="24"/>
          <w:lang w:val="en-GB" w:eastAsia="fr-FR"/>
        </w:rPr>
      </w:pPr>
      <w:r w:rsidRPr="00C8284C">
        <w:rPr>
          <w:rFonts w:ascii="Times New Roman" w:hAnsi="Times New Roman" w:cs="Times New Roman"/>
          <w:sz w:val="24"/>
          <w:szCs w:val="24"/>
          <w:lang w:val="en-GB"/>
        </w:rPr>
        <w:t xml:space="preserve">Similarly the total </w:t>
      </w:r>
      <w:r w:rsidRPr="00C8284C">
        <w:rPr>
          <w:rFonts w:ascii="Times New Roman" w:hAnsi="Times New Roman" w:cs="Times New Roman"/>
          <w:b/>
          <w:sz w:val="24"/>
          <w:szCs w:val="24"/>
          <w:lang w:val="en-GB"/>
        </w:rPr>
        <w:t>ban on voting of people with mental disabilities</w:t>
      </w:r>
      <w:r w:rsidRPr="00C8284C">
        <w:rPr>
          <w:rFonts w:ascii="Times New Roman" w:hAnsi="Times New Roman" w:cs="Times New Roman"/>
          <w:sz w:val="24"/>
          <w:szCs w:val="24"/>
          <w:lang w:val="en-GB"/>
        </w:rPr>
        <w:t xml:space="preserve"> without due regard to their actual faculties had been found to be a disproportionate restriction on the voting rights in the case of </w:t>
      </w:r>
      <w:r w:rsidRPr="009E0C76">
        <w:rPr>
          <w:rFonts w:ascii="Times New Roman" w:hAnsi="Times New Roman" w:cs="Times New Roman"/>
          <w:i/>
          <w:sz w:val="24"/>
          <w:szCs w:val="24"/>
          <w:lang w:val="en-GB"/>
        </w:rPr>
        <w:t>Alajos Kiss v. Hungary</w:t>
      </w:r>
      <w:r w:rsidRPr="00C8284C">
        <w:rPr>
          <w:rStyle w:val="Appelnotedebasdep"/>
          <w:rFonts w:ascii="Times New Roman" w:hAnsi="Times New Roman" w:cs="Times New Roman"/>
          <w:sz w:val="24"/>
          <w:szCs w:val="24"/>
          <w:lang w:val="en-GB"/>
        </w:rPr>
        <w:footnoteReference w:id="21"/>
      </w:r>
      <w:r w:rsidRPr="00C8284C">
        <w:rPr>
          <w:rFonts w:ascii="Times New Roman" w:hAnsi="Times New Roman" w:cs="Times New Roman"/>
          <w:sz w:val="24"/>
          <w:szCs w:val="24"/>
          <w:lang w:val="en-GB"/>
        </w:rPr>
        <w:t>.</w:t>
      </w:r>
    </w:p>
    <w:p w:rsidR="00D14733" w:rsidRPr="00C8284C" w:rsidRDefault="00414E60"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The Court would normally accept the </w:t>
      </w:r>
      <w:r w:rsidRPr="00C8284C">
        <w:rPr>
          <w:rFonts w:ascii="Times New Roman" w:hAnsi="Times New Roman" w:cs="Times New Roman"/>
          <w:b/>
          <w:sz w:val="24"/>
          <w:szCs w:val="24"/>
          <w:lang w:val="en-GB"/>
        </w:rPr>
        <w:t>restrictions based on residence</w:t>
      </w:r>
      <w:r w:rsidRPr="00C8284C">
        <w:rPr>
          <w:rFonts w:ascii="Times New Roman" w:hAnsi="Times New Roman" w:cs="Times New Roman"/>
          <w:sz w:val="24"/>
          <w:szCs w:val="24"/>
          <w:lang w:val="en-GB"/>
        </w:rPr>
        <w:t xml:space="preserve"> and a wide margin of appreciation in this respect, like in the recent</w:t>
      </w:r>
      <w:r w:rsidR="00D14733" w:rsidRPr="00C8284C">
        <w:rPr>
          <w:rFonts w:ascii="Times New Roman" w:hAnsi="Times New Roman" w:cs="Times New Roman"/>
          <w:sz w:val="24"/>
          <w:szCs w:val="24"/>
          <w:lang w:val="en-GB"/>
        </w:rPr>
        <w:t xml:space="preserve"> case of</w:t>
      </w:r>
      <w:r w:rsidR="00D14733" w:rsidRPr="00C8284C">
        <w:rPr>
          <w:rFonts w:ascii="Times New Roman" w:hAnsi="Times New Roman" w:cs="Times New Roman"/>
          <w:i/>
          <w:sz w:val="24"/>
          <w:szCs w:val="24"/>
          <w:lang w:val="en-GB"/>
        </w:rPr>
        <w:t xml:space="preserve"> Shindler v. the United Kingdom</w:t>
      </w:r>
      <w:r w:rsidR="002A79A6" w:rsidRPr="00C8284C">
        <w:rPr>
          <w:rStyle w:val="Appelnotedebasdep"/>
          <w:rFonts w:ascii="Times New Roman" w:hAnsi="Times New Roman" w:cs="Times New Roman"/>
          <w:sz w:val="24"/>
          <w:szCs w:val="24"/>
          <w:lang w:val="en-GB"/>
        </w:rPr>
        <w:footnoteReference w:id="22"/>
      </w:r>
      <w:r w:rsidR="00D14733" w:rsidRPr="00C8284C">
        <w:rPr>
          <w:rFonts w:ascii="Times New Roman" w:hAnsi="Times New Roman" w:cs="Times New Roman"/>
          <w:sz w:val="24"/>
          <w:szCs w:val="24"/>
          <w:lang w:val="en-GB"/>
        </w:rPr>
        <w:t>, which concerned disenfranchisement of a British national as a result of his residence outside the UK for more than fifteen years</w:t>
      </w:r>
      <w:r w:rsidRPr="00C8284C">
        <w:rPr>
          <w:rFonts w:ascii="Times New Roman" w:hAnsi="Times New Roman" w:cs="Times New Roman"/>
          <w:sz w:val="24"/>
          <w:szCs w:val="24"/>
          <w:lang w:val="en-GB"/>
        </w:rPr>
        <w:t>.</w:t>
      </w:r>
    </w:p>
    <w:p w:rsidR="000F69E0" w:rsidRPr="00C8284C" w:rsidRDefault="009C51A9"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Finally, it comes as no surprise that the </w:t>
      </w:r>
      <w:r w:rsidRPr="00C8284C">
        <w:rPr>
          <w:rFonts w:ascii="Times New Roman" w:hAnsi="Times New Roman" w:cs="Times New Roman"/>
          <w:b/>
          <w:sz w:val="24"/>
          <w:szCs w:val="24"/>
          <w:lang w:val="en-GB"/>
        </w:rPr>
        <w:t>restrictions based on ethnic origin</w:t>
      </w:r>
      <w:r w:rsidRPr="00C8284C">
        <w:rPr>
          <w:rFonts w:ascii="Times New Roman" w:hAnsi="Times New Roman" w:cs="Times New Roman"/>
          <w:sz w:val="24"/>
          <w:szCs w:val="24"/>
          <w:lang w:val="en-GB"/>
        </w:rPr>
        <w:t xml:space="preserve"> were found to be incompatible with requirements of Article 14 of the European Convention on Human Rights taken together with Article 3 of Protocol No. 1 to the Convention in the case of </w:t>
      </w:r>
      <w:r w:rsidRPr="009E0C76">
        <w:rPr>
          <w:rFonts w:ascii="Times New Roman" w:hAnsi="Times New Roman" w:cs="Times New Roman"/>
          <w:i/>
          <w:sz w:val="24"/>
          <w:szCs w:val="24"/>
          <w:lang w:val="en-GB"/>
        </w:rPr>
        <w:t>Aziz v. Cyprus</w:t>
      </w:r>
      <w:r w:rsidRPr="00C8284C">
        <w:rPr>
          <w:rFonts w:ascii="Times New Roman" w:hAnsi="Times New Roman" w:cs="Times New Roman"/>
          <w:sz w:val="24"/>
          <w:szCs w:val="24"/>
          <w:lang w:val="en-GB"/>
        </w:rPr>
        <w:t>, in which the</w:t>
      </w:r>
      <w:r w:rsidR="00165513" w:rsidRPr="00C8284C">
        <w:rPr>
          <w:rFonts w:ascii="Times New Roman" w:hAnsi="Times New Roman" w:cs="Times New Roman"/>
          <w:sz w:val="24"/>
          <w:szCs w:val="24"/>
          <w:lang w:val="en-GB"/>
        </w:rPr>
        <w:t xml:space="preserve"> applicant was unable to vote in the 2001 parliamentary elections on the grounds that, under Cyprus’ Constitution, members of the Turkish-Cypriot Community were excluded from the Greek-Cypriot electoral roll.</w:t>
      </w:r>
      <w:r w:rsidRPr="00C8284C">
        <w:rPr>
          <w:rStyle w:val="Appelnotedebasdep"/>
          <w:rFonts w:ascii="Times New Roman" w:hAnsi="Times New Roman" w:cs="Times New Roman"/>
          <w:sz w:val="24"/>
          <w:szCs w:val="24"/>
          <w:lang w:val="en-GB"/>
        </w:rPr>
        <w:footnoteReference w:id="23"/>
      </w:r>
    </w:p>
    <w:p w:rsidR="00165513" w:rsidRPr="00C8284C" w:rsidRDefault="00165513" w:rsidP="00C8284C">
      <w:pPr>
        <w:spacing w:line="360" w:lineRule="auto"/>
        <w:jc w:val="both"/>
        <w:rPr>
          <w:rFonts w:ascii="Times New Roman" w:hAnsi="Times New Roman" w:cs="Times New Roman"/>
          <w:b/>
          <w:sz w:val="24"/>
          <w:szCs w:val="24"/>
          <w:lang w:val="en-GB"/>
        </w:rPr>
      </w:pPr>
    </w:p>
    <w:p w:rsidR="00D14733" w:rsidRPr="00C8284C" w:rsidRDefault="00D14733"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(b)  Right to stand for elections</w:t>
      </w:r>
    </w:p>
    <w:p w:rsidR="002A79A6" w:rsidRPr="00C8284C" w:rsidRDefault="002A79A6" w:rsidP="00C8284C">
      <w:pPr>
        <w:spacing w:line="360" w:lineRule="auto"/>
        <w:jc w:val="both"/>
        <w:rPr>
          <w:rFonts w:ascii="Times New Roman" w:hAnsi="Times New Roman" w:cs="Times New Roman"/>
          <w:sz w:val="24"/>
          <w:szCs w:val="24"/>
          <w:lang w:val="en-GB"/>
        </w:rPr>
      </w:pPr>
    </w:p>
    <w:p w:rsidR="001074BC" w:rsidRPr="00C8284C" w:rsidRDefault="00165513"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As to passive electoral rights, t</w:t>
      </w:r>
      <w:r w:rsidR="00D14733" w:rsidRPr="00C8284C">
        <w:rPr>
          <w:rFonts w:ascii="Times New Roman" w:hAnsi="Times New Roman" w:cs="Times New Roman"/>
          <w:sz w:val="24"/>
          <w:szCs w:val="24"/>
          <w:lang w:val="en-GB"/>
        </w:rPr>
        <w:t>he Court</w:t>
      </w:r>
      <w:r w:rsidR="009C51A9" w:rsidRPr="00C8284C">
        <w:rPr>
          <w:rFonts w:ascii="Times New Roman" w:hAnsi="Times New Roman" w:cs="Times New Roman"/>
          <w:sz w:val="24"/>
          <w:szCs w:val="24"/>
          <w:lang w:val="en-GB"/>
        </w:rPr>
        <w:t xml:space="preserve"> </w:t>
      </w:r>
      <w:r w:rsidR="00D14733" w:rsidRPr="00C8284C">
        <w:rPr>
          <w:rFonts w:ascii="Times New Roman" w:hAnsi="Times New Roman" w:cs="Times New Roman"/>
          <w:sz w:val="24"/>
          <w:szCs w:val="24"/>
          <w:lang w:val="en-GB"/>
        </w:rPr>
        <w:t xml:space="preserve">accepted </w:t>
      </w:r>
      <w:r w:rsidR="009C51A9" w:rsidRPr="00C8284C">
        <w:rPr>
          <w:rFonts w:ascii="Times New Roman" w:hAnsi="Times New Roman" w:cs="Times New Roman"/>
          <w:sz w:val="24"/>
          <w:szCs w:val="24"/>
          <w:lang w:val="en-GB"/>
        </w:rPr>
        <w:t>even</w:t>
      </w:r>
      <w:r w:rsidR="00D14733" w:rsidRPr="00C8284C">
        <w:rPr>
          <w:rFonts w:ascii="Times New Roman" w:hAnsi="Times New Roman" w:cs="Times New Roman"/>
          <w:sz w:val="24"/>
          <w:szCs w:val="24"/>
          <w:lang w:val="en-GB"/>
        </w:rPr>
        <w:t xml:space="preserve"> stricter requirements </w:t>
      </w:r>
      <w:r w:rsidR="009C51A9" w:rsidRPr="00C8284C">
        <w:rPr>
          <w:rFonts w:ascii="Times New Roman" w:hAnsi="Times New Roman" w:cs="Times New Roman"/>
          <w:sz w:val="24"/>
          <w:szCs w:val="24"/>
          <w:lang w:val="en-GB"/>
        </w:rPr>
        <w:t>than those for</w:t>
      </w:r>
      <w:r w:rsidR="00D14733" w:rsidRPr="00C8284C">
        <w:rPr>
          <w:rFonts w:ascii="Times New Roman" w:hAnsi="Times New Roman" w:cs="Times New Roman"/>
          <w:sz w:val="24"/>
          <w:szCs w:val="24"/>
          <w:lang w:val="en-GB"/>
        </w:rPr>
        <w:t xml:space="preserve"> voting eligibility</w:t>
      </w:r>
      <w:r w:rsidR="009C51A9" w:rsidRPr="00C8284C">
        <w:rPr>
          <w:rFonts w:ascii="Times New Roman" w:hAnsi="Times New Roman" w:cs="Times New Roman"/>
          <w:sz w:val="24"/>
          <w:szCs w:val="24"/>
          <w:lang w:val="en-GB"/>
        </w:rPr>
        <w:t xml:space="preserve">. </w:t>
      </w:r>
      <w:r w:rsidR="001074BC" w:rsidRPr="00C8284C">
        <w:rPr>
          <w:rFonts w:ascii="Times New Roman" w:hAnsi="Times New Roman" w:cs="Times New Roman"/>
          <w:sz w:val="24"/>
          <w:szCs w:val="24"/>
          <w:lang w:val="en-GB"/>
        </w:rPr>
        <w:t xml:space="preserve">The residence requirement allowed with respect of active electoral rights, was thus found reasonable for the candidates in the parliamentary elections as well. </w:t>
      </w:r>
    </w:p>
    <w:p w:rsidR="00D14733" w:rsidRPr="00C8284C" w:rsidRDefault="001074BC" w:rsidP="00C8284C">
      <w:pPr>
        <w:spacing w:line="360" w:lineRule="auto"/>
        <w:jc w:val="both"/>
        <w:rPr>
          <w:rFonts w:ascii="Times New Roman" w:hAnsi="Times New Roman" w:cs="Times New Roman"/>
          <w:i/>
          <w:sz w:val="24"/>
          <w:szCs w:val="24"/>
          <w:lang w:val="en-GB"/>
        </w:rPr>
      </w:pPr>
      <w:r w:rsidRPr="00C8284C">
        <w:rPr>
          <w:rFonts w:ascii="Times New Roman" w:hAnsi="Times New Roman" w:cs="Times New Roman"/>
          <w:sz w:val="24"/>
          <w:szCs w:val="24"/>
          <w:lang w:val="en-GB"/>
        </w:rPr>
        <w:t>The case-law of the Court requires, however, that such a restriction is formulated with sufficient precision</w:t>
      </w:r>
      <w:r w:rsidR="00E226B6" w:rsidRPr="00C8284C">
        <w:rPr>
          <w:rFonts w:ascii="Times New Roman" w:hAnsi="Times New Roman" w:cs="Times New Roman"/>
          <w:sz w:val="24"/>
          <w:szCs w:val="24"/>
          <w:lang w:val="en-GB"/>
        </w:rPr>
        <w:t xml:space="preserve">, so it is </w:t>
      </w:r>
      <w:r w:rsidR="00E226B6" w:rsidRPr="00C8284C">
        <w:rPr>
          <w:rFonts w:ascii="Times New Roman" w:hAnsi="Times New Roman" w:cs="Times New Roman"/>
          <w:b/>
          <w:sz w:val="24"/>
          <w:szCs w:val="24"/>
          <w:lang w:val="en-GB"/>
        </w:rPr>
        <w:t>clear and foreseeable</w:t>
      </w:r>
      <w:r w:rsidRPr="00C8284C">
        <w:rPr>
          <w:rFonts w:ascii="Times New Roman" w:hAnsi="Times New Roman" w:cs="Times New Roman"/>
          <w:sz w:val="24"/>
          <w:szCs w:val="24"/>
          <w:lang w:val="en-GB"/>
        </w:rPr>
        <w:t xml:space="preserve">. If the relevant domestic legislation or administrative practice is ambiguous and unforeseeable, such a situation would amount to a breach of Article 3 of Protocol No. 1 like in the case </w:t>
      </w:r>
      <w:r w:rsidR="009C51A9" w:rsidRPr="00C8284C">
        <w:rPr>
          <w:rFonts w:ascii="Times New Roman" w:hAnsi="Times New Roman" w:cs="Times New Roman"/>
          <w:sz w:val="24"/>
          <w:szCs w:val="24"/>
          <w:lang w:val="en-GB"/>
        </w:rPr>
        <w:t xml:space="preserve">of </w:t>
      </w:r>
      <w:r w:rsidR="009C51A9" w:rsidRPr="00C8284C">
        <w:rPr>
          <w:rFonts w:ascii="Times New Roman" w:hAnsi="Times New Roman" w:cs="Times New Roman"/>
          <w:i/>
          <w:sz w:val="24"/>
          <w:szCs w:val="24"/>
          <w:lang w:val="en-GB"/>
        </w:rPr>
        <w:t>Melnychenko v. Ukraine</w:t>
      </w:r>
      <w:r w:rsidR="009C51A9" w:rsidRPr="00C8284C">
        <w:rPr>
          <w:rStyle w:val="Appelnotedebasdep"/>
          <w:rFonts w:ascii="Times New Roman" w:hAnsi="Times New Roman" w:cs="Times New Roman"/>
          <w:i/>
          <w:sz w:val="24"/>
          <w:szCs w:val="24"/>
          <w:lang w:val="en-GB"/>
        </w:rPr>
        <w:footnoteReference w:id="24"/>
      </w:r>
      <w:r w:rsidR="009C51A9" w:rsidRPr="00C8284C">
        <w:rPr>
          <w:rFonts w:ascii="Times New Roman" w:hAnsi="Times New Roman" w:cs="Times New Roman"/>
          <w:i/>
          <w:sz w:val="24"/>
          <w:szCs w:val="24"/>
          <w:lang w:val="en-GB"/>
        </w:rPr>
        <w:t>.</w:t>
      </w:r>
    </w:p>
    <w:p w:rsidR="00D14733" w:rsidRPr="00C8284C" w:rsidRDefault="00E226B6"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The Court’s case-law further requires protection of candidates from </w:t>
      </w:r>
      <w:r w:rsidRPr="00C8284C">
        <w:rPr>
          <w:rFonts w:ascii="Times New Roman" w:hAnsi="Times New Roman" w:cs="Times New Roman"/>
          <w:b/>
          <w:sz w:val="24"/>
          <w:szCs w:val="24"/>
          <w:lang w:val="en-GB"/>
        </w:rPr>
        <w:t>arbitrary and abusive disqualification of candidates</w:t>
      </w:r>
      <w:r w:rsidRPr="00C8284C">
        <w:rPr>
          <w:rFonts w:ascii="Times New Roman" w:hAnsi="Times New Roman" w:cs="Times New Roman"/>
          <w:sz w:val="24"/>
          <w:szCs w:val="24"/>
          <w:lang w:val="en-GB"/>
        </w:rPr>
        <w:t>. The Court examined a number of cases in which the applicants’ registration as candidates was cancelled for electoral misconduct</w:t>
      </w:r>
      <w:r w:rsidRPr="00C8284C">
        <w:rPr>
          <w:rStyle w:val="Appelnotedebasdep"/>
          <w:rFonts w:ascii="Times New Roman" w:hAnsi="Times New Roman" w:cs="Times New Roman"/>
          <w:sz w:val="24"/>
          <w:szCs w:val="24"/>
          <w:lang w:val="en-GB"/>
        </w:rPr>
        <w:footnoteReference w:id="25"/>
      </w:r>
      <w:r w:rsidRPr="00C8284C">
        <w:rPr>
          <w:rFonts w:ascii="Times New Roman" w:hAnsi="Times New Roman" w:cs="Times New Roman"/>
          <w:sz w:val="24"/>
          <w:szCs w:val="24"/>
          <w:lang w:val="en-GB"/>
        </w:rPr>
        <w:t>, providing untruthful information about property</w:t>
      </w:r>
      <w:r w:rsidRPr="00C8284C">
        <w:rPr>
          <w:rStyle w:val="Appelnotedebasdep"/>
          <w:rFonts w:ascii="Times New Roman" w:hAnsi="Times New Roman" w:cs="Times New Roman"/>
          <w:sz w:val="24"/>
          <w:szCs w:val="24"/>
          <w:lang w:val="en-GB"/>
        </w:rPr>
        <w:footnoteReference w:id="26"/>
      </w:r>
      <w:r w:rsidRPr="00C8284C">
        <w:rPr>
          <w:rFonts w:ascii="Times New Roman" w:hAnsi="Times New Roman" w:cs="Times New Roman"/>
          <w:sz w:val="24"/>
          <w:szCs w:val="24"/>
          <w:lang w:val="en-GB"/>
        </w:rPr>
        <w:t xml:space="preserve"> or place of residence</w:t>
      </w:r>
      <w:r w:rsidRPr="00C8284C">
        <w:rPr>
          <w:rStyle w:val="Appelnotedebasdep"/>
          <w:rFonts w:ascii="Times New Roman" w:hAnsi="Times New Roman" w:cs="Times New Roman"/>
          <w:sz w:val="24"/>
          <w:szCs w:val="24"/>
          <w:lang w:val="en-GB"/>
        </w:rPr>
        <w:footnoteReference w:id="27"/>
      </w:r>
      <w:r w:rsidR="00825F01" w:rsidRPr="00C8284C">
        <w:rPr>
          <w:rFonts w:ascii="Times New Roman" w:hAnsi="Times New Roman" w:cs="Times New Roman"/>
          <w:sz w:val="24"/>
          <w:szCs w:val="24"/>
          <w:lang w:val="en-GB"/>
        </w:rPr>
        <w:t>, and insufficient knowledge of the official language of the State</w:t>
      </w:r>
      <w:r w:rsidR="00825F01" w:rsidRPr="00C8284C">
        <w:rPr>
          <w:rStyle w:val="Appelnotedebasdep"/>
          <w:rFonts w:ascii="Times New Roman" w:hAnsi="Times New Roman" w:cs="Times New Roman"/>
          <w:sz w:val="24"/>
          <w:szCs w:val="24"/>
          <w:lang w:val="en-GB"/>
        </w:rPr>
        <w:footnoteReference w:id="28"/>
      </w:r>
      <w:r w:rsidR="00825F01" w:rsidRPr="00C8284C">
        <w:rPr>
          <w:rFonts w:ascii="Times New Roman" w:hAnsi="Times New Roman" w:cs="Times New Roman"/>
          <w:sz w:val="24"/>
          <w:szCs w:val="24"/>
          <w:lang w:val="en-GB"/>
        </w:rPr>
        <w:t xml:space="preserve">. In all of them the Court concluded that the manner, grounds and reasoning used by the domestic authorities in restricting the applicants’ passive electoral rights had lacked clarity and had appeared to be unfair and arbitrary, contrary to the requirements of Article 3 of Protocol No. 1. </w:t>
      </w:r>
      <w:r w:rsidR="00D14733" w:rsidRPr="00C8284C">
        <w:rPr>
          <w:rFonts w:ascii="Times New Roman" w:hAnsi="Times New Roman" w:cs="Times New Roman"/>
          <w:sz w:val="24"/>
          <w:szCs w:val="24"/>
          <w:lang w:val="en-GB"/>
        </w:rPr>
        <w:t>The Court’s case-law consistently stressed the need to avoid arbitrary decisions and abuse of power in the electoral context, especially as regards the registration of candidates</w:t>
      </w:r>
      <w:r w:rsidR="00825F01" w:rsidRPr="00C8284C">
        <w:rPr>
          <w:rStyle w:val="Appelnotedebasdep"/>
          <w:rFonts w:ascii="Times New Roman" w:hAnsi="Times New Roman" w:cs="Times New Roman"/>
          <w:sz w:val="24"/>
          <w:szCs w:val="24"/>
          <w:lang w:val="en-GB"/>
        </w:rPr>
        <w:footnoteReference w:id="29"/>
      </w:r>
      <w:r w:rsidR="00D14733" w:rsidRPr="00C8284C">
        <w:rPr>
          <w:rFonts w:ascii="Times New Roman" w:hAnsi="Times New Roman" w:cs="Times New Roman"/>
          <w:sz w:val="24"/>
          <w:szCs w:val="24"/>
          <w:lang w:val="en-GB"/>
        </w:rPr>
        <w:t>.</w:t>
      </w:r>
    </w:p>
    <w:p w:rsidR="00C8284C" w:rsidRPr="00C8284C" w:rsidRDefault="00C8284C" w:rsidP="00C8284C">
      <w:pPr>
        <w:spacing w:line="360" w:lineRule="auto"/>
        <w:jc w:val="both"/>
        <w:rPr>
          <w:rFonts w:ascii="Times New Roman" w:hAnsi="Times New Roman" w:cs="Times New Roman"/>
          <w:sz w:val="24"/>
          <w:szCs w:val="24"/>
          <w:lang w:val="en-GB"/>
        </w:rPr>
      </w:pPr>
    </w:p>
    <w:p w:rsidR="00C8284C" w:rsidRPr="00C8284C" w:rsidRDefault="00C8284C" w:rsidP="00C8284C">
      <w:pPr>
        <w:spacing w:line="360" w:lineRule="auto"/>
        <w:jc w:val="both"/>
        <w:rPr>
          <w:rFonts w:ascii="Times New Roman" w:hAnsi="Times New Roman" w:cs="Times New Roman"/>
          <w:b/>
          <w:sz w:val="24"/>
          <w:szCs w:val="24"/>
          <w:lang w:val="en-GB"/>
        </w:rPr>
      </w:pPr>
      <w:r w:rsidRPr="00C8284C">
        <w:rPr>
          <w:rFonts w:ascii="Times New Roman" w:hAnsi="Times New Roman" w:cs="Times New Roman"/>
          <w:b/>
          <w:sz w:val="24"/>
          <w:szCs w:val="24"/>
          <w:lang w:val="en-GB"/>
        </w:rPr>
        <w:t>VI.  Other issues</w:t>
      </w:r>
    </w:p>
    <w:p w:rsidR="00C8284C" w:rsidRPr="00C8284C" w:rsidRDefault="00C8284C" w:rsidP="00C8284C">
      <w:pPr>
        <w:spacing w:line="360" w:lineRule="auto"/>
        <w:jc w:val="both"/>
        <w:rPr>
          <w:rFonts w:ascii="Times New Roman" w:hAnsi="Times New Roman" w:cs="Times New Roman"/>
          <w:b/>
          <w:sz w:val="24"/>
          <w:szCs w:val="24"/>
          <w:lang w:val="en-GB"/>
        </w:rPr>
      </w:pPr>
    </w:p>
    <w:p w:rsidR="00B6394C" w:rsidRPr="00C8284C" w:rsidRDefault="00825F01" w:rsidP="00C8284C">
      <w:pPr>
        <w:spacing w:line="360" w:lineRule="auto"/>
        <w:jc w:val="both"/>
        <w:rPr>
          <w:rFonts w:ascii="Times New Roman" w:hAnsi="Times New Roman" w:cs="Times New Roman"/>
          <w:sz w:val="24"/>
          <w:szCs w:val="24"/>
          <w:lang w:val="en-GB"/>
        </w:rPr>
      </w:pPr>
      <w:r w:rsidRPr="00C8284C">
        <w:rPr>
          <w:rFonts w:ascii="Times New Roman" w:hAnsi="Times New Roman" w:cs="Times New Roman"/>
          <w:sz w:val="24"/>
          <w:szCs w:val="24"/>
          <w:lang w:val="en-GB"/>
        </w:rPr>
        <w:t xml:space="preserve">In its case-law, the Court further stressed the importance of the principles of equal and free suffrage and </w:t>
      </w:r>
      <w:r w:rsidR="00C8284C" w:rsidRPr="00C8284C">
        <w:rPr>
          <w:rFonts w:ascii="Times New Roman" w:hAnsi="Times New Roman" w:cs="Times New Roman"/>
          <w:sz w:val="24"/>
          <w:szCs w:val="24"/>
          <w:lang w:val="en-GB"/>
        </w:rPr>
        <w:t>observed the necessity to have an accuracy of electoral rolls</w:t>
      </w:r>
      <w:r w:rsidR="00C8284C" w:rsidRPr="00C8284C">
        <w:rPr>
          <w:rStyle w:val="Appelnotedebasdep"/>
          <w:rFonts w:ascii="Times New Roman" w:hAnsi="Times New Roman" w:cs="Times New Roman"/>
          <w:sz w:val="24"/>
          <w:szCs w:val="24"/>
          <w:lang w:val="en-GB"/>
        </w:rPr>
        <w:footnoteReference w:id="30"/>
      </w:r>
      <w:r w:rsidRPr="00C8284C">
        <w:rPr>
          <w:rFonts w:ascii="Times New Roman" w:hAnsi="Times New Roman" w:cs="Times New Roman"/>
          <w:sz w:val="24"/>
          <w:szCs w:val="24"/>
          <w:lang w:val="en-GB"/>
        </w:rPr>
        <w:t xml:space="preserve">, </w:t>
      </w:r>
      <w:r w:rsidR="00C8284C" w:rsidRPr="00C8284C">
        <w:rPr>
          <w:rFonts w:ascii="Times New Roman" w:hAnsi="Times New Roman" w:cs="Times New Roman"/>
          <w:sz w:val="24"/>
          <w:szCs w:val="24"/>
          <w:lang w:val="en-GB"/>
        </w:rPr>
        <w:t>a stability of electoral legislation</w:t>
      </w:r>
      <w:r w:rsidR="00C8284C" w:rsidRPr="00C8284C">
        <w:rPr>
          <w:rStyle w:val="Appelnotedebasdep"/>
          <w:rFonts w:ascii="Times New Roman" w:hAnsi="Times New Roman" w:cs="Times New Roman"/>
          <w:sz w:val="24"/>
          <w:szCs w:val="24"/>
          <w:lang w:val="en-GB"/>
        </w:rPr>
        <w:footnoteReference w:id="31"/>
      </w:r>
      <w:r w:rsidR="00C8284C" w:rsidRPr="00C8284C">
        <w:rPr>
          <w:rFonts w:ascii="Times New Roman" w:hAnsi="Times New Roman" w:cs="Times New Roman"/>
          <w:sz w:val="24"/>
          <w:szCs w:val="24"/>
          <w:lang w:val="en-GB"/>
        </w:rPr>
        <w:t>, an impartial body responsible for organisation of elections</w:t>
      </w:r>
      <w:r w:rsidR="00C8284C" w:rsidRPr="00C8284C">
        <w:rPr>
          <w:rStyle w:val="Appelnotedebasdep"/>
          <w:rFonts w:ascii="Times New Roman" w:hAnsi="Times New Roman" w:cs="Times New Roman"/>
          <w:sz w:val="24"/>
          <w:szCs w:val="24"/>
          <w:lang w:val="en-GB"/>
        </w:rPr>
        <w:footnoteReference w:id="32"/>
      </w:r>
      <w:r w:rsidR="00C8284C" w:rsidRPr="00C8284C">
        <w:rPr>
          <w:rFonts w:ascii="Times New Roman" w:hAnsi="Times New Roman" w:cs="Times New Roman"/>
          <w:sz w:val="24"/>
          <w:szCs w:val="24"/>
          <w:lang w:val="en-GB"/>
        </w:rPr>
        <w:t xml:space="preserve"> and an effective system of appeal within electoral process</w:t>
      </w:r>
      <w:r w:rsidR="00C8284C" w:rsidRPr="00C8284C">
        <w:rPr>
          <w:rStyle w:val="Appelnotedebasdep"/>
          <w:rFonts w:ascii="Times New Roman" w:hAnsi="Times New Roman" w:cs="Times New Roman"/>
          <w:sz w:val="24"/>
          <w:szCs w:val="24"/>
          <w:lang w:val="en-GB"/>
        </w:rPr>
        <w:footnoteReference w:id="33"/>
      </w:r>
      <w:r w:rsidR="00C8284C" w:rsidRPr="00C8284C">
        <w:rPr>
          <w:rFonts w:ascii="Times New Roman" w:hAnsi="Times New Roman" w:cs="Times New Roman"/>
          <w:sz w:val="24"/>
          <w:szCs w:val="24"/>
          <w:lang w:val="en-GB"/>
        </w:rPr>
        <w:t>.</w:t>
      </w:r>
    </w:p>
    <w:sectPr w:rsidR="00B6394C" w:rsidRPr="00C8284C" w:rsidSect="00A6035E">
      <w:pgSz w:w="11907" w:h="16840" w:code="9"/>
      <w:pgMar w:top="1440" w:right="1440" w:bottom="1440" w:left="1440"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BC" w:rsidRDefault="00EC72BC" w:rsidP="00F65844">
      <w:r>
        <w:separator/>
      </w:r>
    </w:p>
  </w:endnote>
  <w:endnote w:type="continuationSeparator" w:id="0">
    <w:p w:rsidR="00EC72BC" w:rsidRDefault="00EC72BC" w:rsidP="00F6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BC" w:rsidRDefault="00EC72BC" w:rsidP="00F65844">
      <w:r>
        <w:separator/>
      </w:r>
    </w:p>
  </w:footnote>
  <w:footnote w:type="continuationSeparator" w:id="0">
    <w:p w:rsidR="00EC72BC" w:rsidRDefault="00EC72BC" w:rsidP="00F65844">
      <w:r>
        <w:continuationSeparator/>
      </w:r>
    </w:p>
  </w:footnote>
  <w:footnote w:id="1">
    <w:p w:rsidR="00425C18" w:rsidRPr="00425C18" w:rsidRDefault="00425C18">
      <w:pPr>
        <w:pStyle w:val="Notedebasdepage"/>
        <w:rPr>
          <w:rFonts w:ascii="Times New Roman" w:hAnsi="Times New Roman" w:cs="Times New Roman"/>
          <w:lang w:val="en-GB"/>
        </w:rPr>
      </w:pPr>
      <w:r w:rsidRPr="00425C18">
        <w:rPr>
          <w:rStyle w:val="Appelnotedebasdep"/>
          <w:rFonts w:ascii="Times New Roman" w:hAnsi="Times New Roman" w:cs="Times New Roman"/>
        </w:rPr>
        <w:footnoteRef/>
      </w:r>
      <w:r w:rsidRPr="00425C18">
        <w:rPr>
          <w:rFonts w:ascii="Times New Roman" w:hAnsi="Times New Roman" w:cs="Times New Roman"/>
        </w:rPr>
        <w:t xml:space="preserve"> </w:t>
      </w:r>
      <w:r w:rsidRPr="00425C18">
        <w:rPr>
          <w:rFonts w:ascii="Times New Roman" w:hAnsi="Times New Roman" w:cs="Times New Roman"/>
          <w:lang w:val="en-GB"/>
        </w:rPr>
        <w:t xml:space="preserve">see, for example, </w:t>
      </w:r>
      <w:r w:rsidRPr="00425C18">
        <w:rPr>
          <w:rFonts w:ascii="Times New Roman" w:hAnsi="Times New Roman" w:cs="Times New Roman"/>
          <w:i/>
          <w:lang w:val="en-GB" w:eastAsia="fr-FR"/>
        </w:rPr>
        <w:t>Şükran Aydın and Others v. Turkey</w:t>
      </w:r>
      <w:r w:rsidRPr="00425C18">
        <w:rPr>
          <w:rFonts w:ascii="Times New Roman" w:hAnsi="Times New Roman" w:cs="Times New Roman"/>
          <w:lang w:val="en-GB" w:eastAsia="fr-FR"/>
        </w:rPr>
        <w:t>, nos. 49197/06 et al., 22 January 2013</w:t>
      </w:r>
    </w:p>
  </w:footnote>
  <w:footnote w:id="2">
    <w:p w:rsidR="00425C18" w:rsidRPr="00425C18" w:rsidRDefault="00425C18">
      <w:pPr>
        <w:pStyle w:val="Notedebasdepage"/>
        <w:rPr>
          <w:rFonts w:ascii="Times New Roman" w:hAnsi="Times New Roman" w:cs="Times New Roman"/>
          <w:lang w:val="en-GB"/>
        </w:rPr>
      </w:pPr>
      <w:r w:rsidRPr="00425C18">
        <w:rPr>
          <w:rStyle w:val="Appelnotedebasdep"/>
          <w:rFonts w:ascii="Times New Roman" w:hAnsi="Times New Roman" w:cs="Times New Roman"/>
        </w:rPr>
        <w:footnoteRef/>
      </w:r>
      <w:r w:rsidRPr="00425C18">
        <w:rPr>
          <w:rFonts w:ascii="Times New Roman" w:hAnsi="Times New Roman" w:cs="Times New Roman"/>
        </w:rPr>
        <w:t xml:space="preserve"> </w:t>
      </w:r>
      <w:r w:rsidRPr="00425C18">
        <w:rPr>
          <w:rFonts w:ascii="Times New Roman" w:hAnsi="Times New Roman" w:cs="Times New Roman"/>
          <w:lang w:val="en-GB"/>
        </w:rPr>
        <w:t xml:space="preserve">see, among other authorities, </w:t>
      </w:r>
      <w:r w:rsidRPr="00425C18">
        <w:rPr>
          <w:rFonts w:ascii="Times New Roman" w:hAnsi="Times New Roman" w:cs="Times New Roman"/>
          <w:i/>
          <w:lang w:val="en-GB" w:eastAsia="fr-FR"/>
        </w:rPr>
        <w:t>Refah Partisi (the Welfare Party) and Others v. Turkey</w:t>
      </w:r>
      <w:r w:rsidRPr="00425C18">
        <w:rPr>
          <w:rFonts w:ascii="Times New Roman" w:hAnsi="Times New Roman" w:cs="Times New Roman"/>
          <w:lang w:val="en-GB" w:eastAsia="fr-FR"/>
        </w:rPr>
        <w:t xml:space="preserve"> [GC], nos. 41340/98 et al., ECHR 2003</w:t>
      </w:r>
      <w:r w:rsidRPr="00425C18">
        <w:rPr>
          <w:rFonts w:ascii="Times New Roman" w:hAnsi="Times New Roman" w:cs="Times New Roman"/>
          <w:lang w:val="en-GB" w:eastAsia="fr-FR"/>
        </w:rPr>
        <w:noBreakHyphen/>
        <w:t>II</w:t>
      </w:r>
    </w:p>
  </w:footnote>
  <w:footnote w:id="3">
    <w:p w:rsidR="00FD6077" w:rsidRPr="00FD6077" w:rsidRDefault="00FD6077">
      <w:pPr>
        <w:pStyle w:val="Notedebasdepage"/>
        <w:rPr>
          <w:lang w:val="en-GB"/>
        </w:rPr>
      </w:pPr>
      <w:r w:rsidRPr="00FD6077">
        <w:rPr>
          <w:rStyle w:val="Appelnotedebasdep"/>
        </w:rPr>
        <w:footnoteRef/>
      </w:r>
      <w:r w:rsidRPr="00FD6077">
        <w:t xml:space="preserve"> </w:t>
      </w:r>
      <w:r w:rsidRPr="00FD6077">
        <w:rPr>
          <w:rFonts w:ascii="Times New Roman" w:hAnsi="Times New Roman"/>
          <w:i/>
          <w:lang w:val="en-GB" w:eastAsia="fr-FR"/>
        </w:rPr>
        <w:t>Mathieu-Mohin and Clerfayt v. Belgium</w:t>
      </w:r>
      <w:r w:rsidRPr="00FD6077">
        <w:rPr>
          <w:rFonts w:ascii="Times New Roman" w:hAnsi="Times New Roman"/>
          <w:lang w:val="en-GB" w:eastAsia="fr-FR"/>
        </w:rPr>
        <w:t>, 2 March 1987, Series A no. 113</w:t>
      </w:r>
    </w:p>
  </w:footnote>
  <w:footnote w:id="4">
    <w:p w:rsidR="00890A15" w:rsidRPr="00890A15" w:rsidRDefault="00890A15">
      <w:pPr>
        <w:pStyle w:val="Notedebasdepage"/>
        <w:rPr>
          <w:lang w:val="en-GB"/>
        </w:rPr>
      </w:pPr>
      <w:r w:rsidRPr="00890A15">
        <w:rPr>
          <w:rStyle w:val="Appelnotedebasdep"/>
        </w:rPr>
        <w:footnoteRef/>
      </w:r>
      <w:r w:rsidRPr="00890A15">
        <w:t xml:space="preserve"> </w:t>
      </w:r>
      <w:r w:rsidRPr="00890A15">
        <w:rPr>
          <w:rFonts w:ascii="Times New Roman" w:hAnsi="Times New Roman"/>
          <w:i/>
          <w:lang w:val="it-IT" w:eastAsia="fr-FR"/>
        </w:rPr>
        <w:t>Hilbe v. Liechtenstein</w:t>
      </w:r>
      <w:r w:rsidRPr="00890A15">
        <w:rPr>
          <w:rFonts w:ascii="Times New Roman" w:hAnsi="Times New Roman"/>
          <w:lang w:val="it-IT" w:eastAsia="fr-FR"/>
        </w:rPr>
        <w:t xml:space="preserve"> (dec.), no. 31981/96, ECHR 1999</w:t>
      </w:r>
      <w:r w:rsidRPr="00890A15">
        <w:rPr>
          <w:rFonts w:ascii="Times New Roman" w:hAnsi="Times New Roman"/>
          <w:lang w:val="it-IT" w:eastAsia="fr-FR"/>
        </w:rPr>
        <w:noBreakHyphen/>
        <w:t>VI</w:t>
      </w:r>
    </w:p>
  </w:footnote>
  <w:footnote w:id="5">
    <w:p w:rsidR="00890A15" w:rsidRPr="003B1758" w:rsidRDefault="00890A15">
      <w:pPr>
        <w:pStyle w:val="Notedebasdepage"/>
        <w:rPr>
          <w:rFonts w:ascii="Times New Roman" w:hAnsi="Times New Roman" w:cs="Times New Roman"/>
          <w:i/>
          <w:lang w:val="en-GB"/>
        </w:rPr>
      </w:pPr>
      <w:r w:rsidRPr="003B1758">
        <w:rPr>
          <w:rStyle w:val="Appelnotedebasdep"/>
          <w:rFonts w:ascii="Times New Roman" w:hAnsi="Times New Roman" w:cs="Times New Roman"/>
          <w:i/>
        </w:rPr>
        <w:footnoteRef/>
      </w:r>
      <w:r w:rsidRPr="003B1758">
        <w:rPr>
          <w:rFonts w:ascii="Times New Roman" w:hAnsi="Times New Roman" w:cs="Times New Roman"/>
          <w:i/>
        </w:rPr>
        <w:t xml:space="preserve"> Boškoski v. “the former Yugoslav Republic of Macedonia” </w:t>
      </w:r>
      <w:r w:rsidRPr="003B1758">
        <w:rPr>
          <w:rFonts w:ascii="Times New Roman" w:hAnsi="Times New Roman" w:cs="Times New Roman"/>
        </w:rPr>
        <w:t>(dec.), no.11676/04, ECHR 2004-VI</w:t>
      </w:r>
    </w:p>
  </w:footnote>
  <w:footnote w:id="6">
    <w:p w:rsidR="00890A15" w:rsidRPr="00890A15" w:rsidRDefault="00890A15">
      <w:pPr>
        <w:pStyle w:val="Notedebasdepage"/>
        <w:rPr>
          <w:rFonts w:ascii="Times New Roman" w:hAnsi="Times New Roman" w:cs="Times New Roman"/>
          <w:lang w:val="en-GB"/>
        </w:rPr>
      </w:pPr>
      <w:r w:rsidRPr="00890A15">
        <w:rPr>
          <w:rStyle w:val="Appelnotedebasdep"/>
          <w:rFonts w:ascii="Times New Roman" w:hAnsi="Times New Roman" w:cs="Times New Roman"/>
        </w:rPr>
        <w:footnoteRef/>
      </w:r>
      <w:r w:rsidRPr="00890A15">
        <w:rPr>
          <w:rFonts w:ascii="Times New Roman" w:hAnsi="Times New Roman" w:cs="Times New Roman"/>
        </w:rPr>
        <w:t xml:space="preserve"> </w:t>
      </w:r>
      <w:r w:rsidRPr="00890A15">
        <w:rPr>
          <w:rFonts w:ascii="Times New Roman" w:hAnsi="Times New Roman" w:cs="Times New Roman"/>
          <w:i/>
        </w:rPr>
        <w:t>Krivobokov v. Ukraine</w:t>
      </w:r>
      <w:r w:rsidRPr="00890A15">
        <w:rPr>
          <w:rFonts w:ascii="Times New Roman" w:hAnsi="Times New Roman" w:cs="Times New Roman"/>
        </w:rPr>
        <w:t xml:space="preserve"> (dec.), no. 38707/04, 19 February 2013</w:t>
      </w:r>
    </w:p>
  </w:footnote>
  <w:footnote w:id="7">
    <w:p w:rsidR="003B1758" w:rsidRPr="003B1758" w:rsidRDefault="003B1758">
      <w:pPr>
        <w:pStyle w:val="Notedebasdepage"/>
        <w:rPr>
          <w:lang w:val="en-GB"/>
        </w:rPr>
      </w:pPr>
      <w:r w:rsidRPr="003B1758">
        <w:rPr>
          <w:rStyle w:val="Appelnotedebasdep"/>
        </w:rPr>
        <w:footnoteRef/>
      </w:r>
      <w:r w:rsidRPr="003B1758">
        <w:t xml:space="preserve"> </w:t>
      </w:r>
      <w:r w:rsidRPr="003B1758">
        <w:rPr>
          <w:rFonts w:ascii="Times New Roman" w:hAnsi="Times New Roman"/>
          <w:i/>
          <w:lang w:val="it-IT" w:eastAsia="fr-FR"/>
        </w:rPr>
        <w:t xml:space="preserve">Cherepkov v. Russia </w:t>
      </w:r>
      <w:r w:rsidRPr="003B1758">
        <w:rPr>
          <w:rFonts w:ascii="Times New Roman" w:hAnsi="Times New Roman"/>
          <w:lang w:val="it-IT" w:eastAsia="fr-FR"/>
        </w:rPr>
        <w:t>(dec.), no. 51501/99, ECHR 2000</w:t>
      </w:r>
      <w:r w:rsidRPr="003B1758">
        <w:rPr>
          <w:rFonts w:ascii="Times New Roman" w:hAnsi="Times New Roman"/>
          <w:lang w:val="it-IT" w:eastAsia="fr-FR"/>
        </w:rPr>
        <w:noBreakHyphen/>
        <w:t>I</w:t>
      </w:r>
    </w:p>
  </w:footnote>
  <w:footnote w:id="8">
    <w:p w:rsidR="003B1758" w:rsidRPr="003B1758" w:rsidRDefault="003B1758">
      <w:pPr>
        <w:pStyle w:val="Notedebasdepage"/>
        <w:rPr>
          <w:lang w:val="en-GB"/>
        </w:rPr>
      </w:pPr>
      <w:r w:rsidRPr="003B1758">
        <w:rPr>
          <w:rStyle w:val="Appelnotedebasdep"/>
        </w:rPr>
        <w:footnoteRef/>
      </w:r>
      <w:r w:rsidRPr="003B1758">
        <w:t xml:space="preserve"> </w:t>
      </w:r>
      <w:r w:rsidRPr="00F43601">
        <w:rPr>
          <w:rFonts w:ascii="Times New Roman" w:eastAsia="Times New Roman" w:hAnsi="Times New Roman" w:cs="Times New Roman"/>
          <w:i/>
          <w:lang w:val="it-IT" w:eastAsia="fr-FR"/>
        </w:rPr>
        <w:t xml:space="preserve">Mółka v. Poland </w:t>
      </w:r>
      <w:r w:rsidRPr="00F43601">
        <w:rPr>
          <w:rFonts w:ascii="Times New Roman" w:eastAsia="Times New Roman" w:hAnsi="Times New Roman" w:cs="Times New Roman"/>
          <w:lang w:val="it-IT" w:eastAsia="fr-FR"/>
        </w:rPr>
        <w:t>(dec.), no. 56550/00, ECHR 2006</w:t>
      </w:r>
      <w:r w:rsidRPr="00F43601">
        <w:rPr>
          <w:rFonts w:ascii="Times New Roman" w:eastAsia="Times New Roman" w:hAnsi="Times New Roman" w:cs="Times New Roman"/>
          <w:lang w:val="it-IT" w:eastAsia="fr-FR"/>
        </w:rPr>
        <w:noBreakHyphen/>
        <w:t>IV</w:t>
      </w:r>
    </w:p>
  </w:footnote>
  <w:footnote w:id="9">
    <w:p w:rsidR="003B1758" w:rsidRPr="003B1758" w:rsidRDefault="003B1758">
      <w:pPr>
        <w:pStyle w:val="Notedebasdepage"/>
        <w:rPr>
          <w:lang w:val="en-GB"/>
        </w:rPr>
      </w:pPr>
      <w:r>
        <w:rPr>
          <w:rStyle w:val="Appelnotedebasdep"/>
        </w:rPr>
        <w:footnoteRef/>
      </w:r>
      <w:r>
        <w:t xml:space="preserve"> </w:t>
      </w:r>
      <w:r w:rsidRPr="0077117A">
        <w:rPr>
          <w:rFonts w:ascii="Times New Roman" w:hAnsi="Times New Roman"/>
          <w:i/>
          <w:lang w:val="en-GB"/>
        </w:rPr>
        <w:t>Gorizdra v. Moldova</w:t>
      </w:r>
      <w:r w:rsidRPr="0077117A">
        <w:rPr>
          <w:rFonts w:ascii="Times New Roman" w:hAnsi="Times New Roman"/>
          <w:lang w:val="en-GB"/>
        </w:rPr>
        <w:t xml:space="preserve"> (dec.), no. 53180/99, 2 July 2002</w:t>
      </w:r>
    </w:p>
  </w:footnote>
  <w:footnote w:id="10">
    <w:p w:rsidR="00CF060F" w:rsidRPr="00CF060F" w:rsidRDefault="00CF060F">
      <w:pPr>
        <w:pStyle w:val="Notedebasdepage"/>
        <w:rPr>
          <w:lang w:val="en-GB"/>
        </w:rPr>
      </w:pPr>
      <w:r>
        <w:rPr>
          <w:rStyle w:val="Appelnotedebasdep"/>
        </w:rPr>
        <w:footnoteRef/>
      </w:r>
      <w:r>
        <w:t xml:space="preserve"> </w:t>
      </w:r>
      <w:r w:rsidRPr="0077117A">
        <w:rPr>
          <w:rFonts w:ascii="Times New Roman" w:hAnsi="Times New Roman"/>
          <w:i/>
          <w:lang w:val="en-GB"/>
        </w:rPr>
        <w:t>Mathieu-Mohin and Clerfayt v. Belgium</w:t>
      </w:r>
      <w:r w:rsidRPr="0077117A">
        <w:rPr>
          <w:rFonts w:ascii="Times New Roman" w:hAnsi="Times New Roman"/>
          <w:lang w:val="en-GB"/>
        </w:rPr>
        <w:t>,</w:t>
      </w:r>
      <w:r>
        <w:rPr>
          <w:rFonts w:ascii="Times New Roman" w:hAnsi="Times New Roman"/>
          <w:lang w:val="en-GB"/>
        </w:rPr>
        <w:t xml:space="preserve"> 2 March 1987, Series A no. 113</w:t>
      </w:r>
    </w:p>
  </w:footnote>
  <w:footnote w:id="11">
    <w:p w:rsidR="00CF060F" w:rsidRPr="00CF060F" w:rsidRDefault="00CF060F">
      <w:pPr>
        <w:pStyle w:val="Notedebasdepage"/>
        <w:rPr>
          <w:lang w:val="en-GB"/>
        </w:rPr>
      </w:pPr>
      <w:r>
        <w:rPr>
          <w:rStyle w:val="Appelnotedebasdep"/>
        </w:rPr>
        <w:footnoteRef/>
      </w:r>
      <w:r>
        <w:t xml:space="preserve"> </w:t>
      </w:r>
      <w:r w:rsidRPr="0077117A">
        <w:rPr>
          <w:rFonts w:ascii="Times New Roman" w:hAnsi="Times New Roman"/>
          <w:i/>
          <w:lang w:val="en-GB"/>
        </w:rPr>
        <w:t>Vito Sante</w:t>
      </w:r>
      <w:r w:rsidRPr="0077117A">
        <w:rPr>
          <w:rFonts w:ascii="Times New Roman" w:hAnsi="Times New Roman"/>
          <w:lang w:val="en-GB"/>
        </w:rPr>
        <w:t xml:space="preserve"> </w:t>
      </w:r>
      <w:r w:rsidRPr="0077117A">
        <w:rPr>
          <w:rFonts w:ascii="Times New Roman" w:hAnsi="Times New Roman"/>
          <w:i/>
          <w:lang w:val="en-GB"/>
        </w:rPr>
        <w:t>Santoro v. Italy</w:t>
      </w:r>
      <w:r>
        <w:rPr>
          <w:rFonts w:ascii="Times New Roman" w:hAnsi="Times New Roman"/>
          <w:lang w:val="en-GB"/>
        </w:rPr>
        <w:t>, no. 36681/97, ECHR 2004</w:t>
      </w:r>
      <w:r>
        <w:rPr>
          <w:rFonts w:ascii="Times New Roman" w:hAnsi="Times New Roman"/>
          <w:lang w:val="en-GB"/>
        </w:rPr>
        <w:noBreakHyphen/>
        <w:t>VI</w:t>
      </w:r>
    </w:p>
  </w:footnote>
  <w:footnote w:id="12">
    <w:p w:rsidR="00064AD6" w:rsidRPr="00064AD6" w:rsidRDefault="00064AD6">
      <w:pPr>
        <w:pStyle w:val="Notedebasdepage"/>
        <w:rPr>
          <w:rFonts w:ascii="Times New Roman" w:hAnsi="Times New Roman" w:cs="Times New Roman"/>
          <w:lang w:val="en-GB"/>
        </w:rPr>
      </w:pPr>
      <w:r w:rsidRPr="00064AD6">
        <w:rPr>
          <w:rStyle w:val="Appelnotedebasdep"/>
          <w:rFonts w:ascii="Times New Roman" w:hAnsi="Times New Roman" w:cs="Times New Roman"/>
        </w:rPr>
        <w:footnoteRef/>
      </w:r>
      <w:r w:rsidRPr="00064AD6">
        <w:rPr>
          <w:rFonts w:ascii="Times New Roman" w:hAnsi="Times New Roman" w:cs="Times New Roman"/>
        </w:rPr>
        <w:t xml:space="preserve"> </w:t>
      </w:r>
      <w:r w:rsidRPr="00CF060F">
        <w:rPr>
          <w:rFonts w:ascii="Times New Roman" w:hAnsi="Times New Roman" w:cs="Times New Roman"/>
          <w:i/>
        </w:rPr>
        <w:t>Lindsay v. the United Kingdom</w:t>
      </w:r>
      <w:r w:rsidRPr="00064AD6">
        <w:rPr>
          <w:rFonts w:ascii="Times New Roman" w:hAnsi="Times New Roman" w:cs="Times New Roman"/>
        </w:rPr>
        <w:t xml:space="preserve">, application no. </w:t>
      </w:r>
      <w:r w:rsidRPr="00064AD6">
        <w:rPr>
          <w:rFonts w:ascii="Times New Roman" w:hAnsi="Times New Roman" w:cs="Times New Roman"/>
          <w:lang w:val="en-GB"/>
        </w:rPr>
        <w:t>8364/78</w:t>
      </w:r>
      <w:r w:rsidRPr="00064AD6">
        <w:rPr>
          <w:rFonts w:ascii="Times New Roman" w:hAnsi="Times New Roman" w:cs="Times New Roman"/>
        </w:rPr>
        <w:t>, decision of 8 March 1979, Decisions and Reports (DR) 15, p. 247</w:t>
      </w:r>
    </w:p>
  </w:footnote>
  <w:footnote w:id="13">
    <w:p w:rsidR="00064AD6" w:rsidRPr="00064AD6" w:rsidRDefault="00064AD6">
      <w:pPr>
        <w:pStyle w:val="Notedebasdepage"/>
        <w:rPr>
          <w:lang w:val="en-GB"/>
        </w:rPr>
      </w:pPr>
      <w:r w:rsidRPr="00064AD6">
        <w:rPr>
          <w:rStyle w:val="Appelnotedebasdep"/>
        </w:rPr>
        <w:footnoteRef/>
      </w:r>
      <w:r w:rsidRPr="00064AD6">
        <w:t xml:space="preserve"> </w:t>
      </w:r>
      <w:r w:rsidRPr="00064AD6">
        <w:rPr>
          <w:rFonts w:ascii="Times New Roman" w:hAnsi="Times New Roman"/>
          <w:i/>
          <w:lang w:val="en-GB" w:eastAsia="fr-FR"/>
        </w:rPr>
        <w:t>Matthews v. the United Kingdom</w:t>
      </w:r>
      <w:r w:rsidRPr="00064AD6">
        <w:rPr>
          <w:rFonts w:ascii="Times New Roman" w:hAnsi="Times New Roman"/>
          <w:lang w:val="en-GB" w:eastAsia="fr-FR"/>
        </w:rPr>
        <w:t xml:space="preserve"> [GC], no. 24833/94, ECHR 1999</w:t>
      </w:r>
      <w:r w:rsidRPr="00064AD6">
        <w:rPr>
          <w:rFonts w:ascii="Times New Roman" w:hAnsi="Times New Roman"/>
          <w:lang w:val="en-GB" w:eastAsia="fr-FR"/>
        </w:rPr>
        <w:noBreakHyphen/>
        <w:t>I</w:t>
      </w:r>
    </w:p>
  </w:footnote>
  <w:footnote w:id="14">
    <w:p w:rsidR="00575153" w:rsidRPr="00575153" w:rsidRDefault="00575153" w:rsidP="00575153">
      <w:pPr>
        <w:pStyle w:val="ECHRPara"/>
        <w:rPr>
          <w:rFonts w:ascii="Times New Roman" w:hAnsi="Times New Roman"/>
          <w:sz w:val="20"/>
          <w:szCs w:val="20"/>
          <w:lang w:val="en-GB" w:eastAsia="fr-FR"/>
        </w:rPr>
      </w:pPr>
      <w:r w:rsidRPr="00575153">
        <w:rPr>
          <w:rStyle w:val="Appelnotedebasdep"/>
          <w:sz w:val="20"/>
          <w:szCs w:val="20"/>
        </w:rPr>
        <w:footnoteRef/>
      </w:r>
      <w:r w:rsidRPr="00575153">
        <w:rPr>
          <w:sz w:val="20"/>
          <w:szCs w:val="20"/>
        </w:rPr>
        <w:t xml:space="preserve"> </w:t>
      </w:r>
      <w:r w:rsidRPr="00575153">
        <w:rPr>
          <w:rFonts w:ascii="Times New Roman" w:hAnsi="Times New Roman"/>
          <w:i/>
          <w:sz w:val="20"/>
          <w:szCs w:val="20"/>
          <w:lang w:val="en-GB" w:eastAsia="fr-FR"/>
        </w:rPr>
        <w:t>Hirst v. the United Kingdom (no. 2)</w:t>
      </w:r>
      <w:r w:rsidRPr="00575153">
        <w:rPr>
          <w:rFonts w:ascii="Times New Roman" w:hAnsi="Times New Roman"/>
          <w:sz w:val="20"/>
          <w:szCs w:val="20"/>
          <w:lang w:val="en-GB" w:eastAsia="fr-FR"/>
        </w:rPr>
        <w:t xml:space="preserve"> [GC], no. 74025/01, ECHR 2005</w:t>
      </w:r>
      <w:r w:rsidRPr="00575153">
        <w:rPr>
          <w:rFonts w:ascii="Times New Roman" w:hAnsi="Times New Roman"/>
          <w:sz w:val="20"/>
          <w:szCs w:val="20"/>
          <w:lang w:val="en-GB" w:eastAsia="fr-FR"/>
        </w:rPr>
        <w:noBreakHyphen/>
        <w:t>IX</w:t>
      </w:r>
    </w:p>
  </w:footnote>
  <w:footnote w:id="15">
    <w:p w:rsidR="007B75E1" w:rsidRPr="007B75E1" w:rsidRDefault="007B75E1">
      <w:pPr>
        <w:pStyle w:val="Notedebasdepage"/>
        <w:rPr>
          <w:lang w:val="en-GB"/>
        </w:rPr>
      </w:pPr>
      <w:r>
        <w:rPr>
          <w:rStyle w:val="Appelnotedebasdep"/>
        </w:rPr>
        <w:footnoteRef/>
      </w:r>
      <w:r>
        <w:t xml:space="preserve"> </w:t>
      </w:r>
      <w:r w:rsidRPr="00FD6077">
        <w:rPr>
          <w:rFonts w:ascii="Times New Roman" w:hAnsi="Times New Roman"/>
          <w:i/>
          <w:lang w:val="en-GB" w:eastAsia="fr-FR"/>
        </w:rPr>
        <w:t>Mathieu-Mohin and Clerfayt v. Belgium</w:t>
      </w:r>
      <w:r w:rsidRPr="00FD6077">
        <w:rPr>
          <w:rFonts w:ascii="Times New Roman" w:hAnsi="Times New Roman"/>
          <w:lang w:val="en-GB" w:eastAsia="fr-FR"/>
        </w:rPr>
        <w:t xml:space="preserve">, 2 March 1987, </w:t>
      </w:r>
      <w:r>
        <w:rPr>
          <w:rFonts w:ascii="Times New Roman" w:hAnsi="Times New Roman" w:cs="Times New Roman"/>
          <w:lang w:val="en-GB" w:eastAsia="fr-FR"/>
        </w:rPr>
        <w:t>§</w:t>
      </w:r>
      <w:r>
        <w:rPr>
          <w:rFonts w:ascii="Times New Roman" w:hAnsi="Times New Roman"/>
          <w:lang w:val="en-GB" w:eastAsia="fr-FR"/>
        </w:rPr>
        <w:t xml:space="preserve"> 52, </w:t>
      </w:r>
      <w:r w:rsidRPr="00FD6077">
        <w:rPr>
          <w:rFonts w:ascii="Times New Roman" w:hAnsi="Times New Roman"/>
          <w:lang w:val="en-GB" w:eastAsia="fr-FR"/>
        </w:rPr>
        <w:t>Series A no. 113</w:t>
      </w:r>
    </w:p>
  </w:footnote>
  <w:footnote w:id="16">
    <w:p w:rsidR="009240A3" w:rsidRPr="009240A3" w:rsidRDefault="009240A3" w:rsidP="009240A3">
      <w:pPr>
        <w:pStyle w:val="ECHRPara"/>
        <w:outlineLvl w:val="0"/>
        <w:rPr>
          <w:rFonts w:ascii="Times New Roman" w:hAnsi="Times New Roman" w:cs="Times New Roman"/>
          <w:i/>
          <w:sz w:val="20"/>
          <w:szCs w:val="20"/>
          <w:lang w:val="en-GB" w:eastAsia="fr-FR"/>
        </w:rPr>
      </w:pPr>
      <w:r w:rsidRPr="009240A3">
        <w:rPr>
          <w:rStyle w:val="Appelnotedebasdep"/>
          <w:rFonts w:ascii="Times New Roman" w:hAnsi="Times New Roman" w:cs="Times New Roman"/>
          <w:sz w:val="20"/>
          <w:szCs w:val="20"/>
        </w:rPr>
        <w:footnoteRef/>
      </w:r>
      <w:r w:rsidRPr="009240A3">
        <w:rPr>
          <w:rFonts w:ascii="Times New Roman" w:hAnsi="Times New Roman" w:cs="Times New Roman"/>
          <w:sz w:val="20"/>
          <w:szCs w:val="20"/>
        </w:rPr>
        <w:t xml:space="preserve"> </w:t>
      </w:r>
      <w:r w:rsidRPr="009240A3">
        <w:rPr>
          <w:rFonts w:ascii="Times New Roman" w:hAnsi="Times New Roman" w:cs="Times New Roman"/>
          <w:i/>
          <w:sz w:val="20"/>
          <w:szCs w:val="20"/>
          <w:lang w:val="en-GB" w:eastAsia="fr-FR"/>
        </w:rPr>
        <w:t>Yumak and Sadak v. Turkey</w:t>
      </w:r>
      <w:r w:rsidRPr="009240A3">
        <w:rPr>
          <w:rFonts w:ascii="Times New Roman" w:hAnsi="Times New Roman" w:cs="Times New Roman"/>
          <w:sz w:val="20"/>
          <w:szCs w:val="20"/>
          <w:lang w:val="en-GB" w:eastAsia="fr-FR"/>
        </w:rPr>
        <w:t xml:space="preserve"> [GC], no. 10226/03, § </w:t>
      </w:r>
      <w:r>
        <w:rPr>
          <w:rFonts w:ascii="Times New Roman" w:hAnsi="Times New Roman" w:cs="Times New Roman"/>
          <w:sz w:val="20"/>
          <w:szCs w:val="20"/>
          <w:lang w:val="en-GB" w:eastAsia="fr-FR"/>
        </w:rPr>
        <w:t>109</w:t>
      </w:r>
      <w:r w:rsidRPr="009240A3">
        <w:rPr>
          <w:rFonts w:ascii="Times New Roman" w:hAnsi="Times New Roman" w:cs="Times New Roman"/>
          <w:sz w:val="20"/>
          <w:szCs w:val="20"/>
          <w:lang w:val="en-GB" w:eastAsia="fr-FR"/>
        </w:rPr>
        <w:t>, ECHR 2008</w:t>
      </w:r>
    </w:p>
  </w:footnote>
  <w:footnote w:id="17">
    <w:p w:rsidR="004063F7" w:rsidRPr="004063F7" w:rsidRDefault="004063F7" w:rsidP="004063F7">
      <w:pPr>
        <w:pStyle w:val="ECHRPara"/>
        <w:rPr>
          <w:rFonts w:ascii="Times New Roman" w:hAnsi="Times New Roman" w:cs="Times New Roman"/>
          <w:sz w:val="20"/>
          <w:szCs w:val="20"/>
          <w:lang w:val="en-GB" w:eastAsia="fr-FR"/>
        </w:rPr>
      </w:pPr>
      <w:r w:rsidRPr="004063F7">
        <w:rPr>
          <w:rStyle w:val="Appelnotedebasdep"/>
          <w:rFonts w:ascii="Times New Roman" w:hAnsi="Times New Roman" w:cs="Times New Roman"/>
          <w:sz w:val="20"/>
          <w:szCs w:val="20"/>
        </w:rPr>
        <w:footnoteRef/>
      </w:r>
      <w:r w:rsidRPr="004063F7">
        <w:rPr>
          <w:rFonts w:ascii="Times New Roman" w:hAnsi="Times New Roman" w:cs="Times New Roman"/>
          <w:sz w:val="20"/>
          <w:szCs w:val="20"/>
        </w:rPr>
        <w:t xml:space="preserve"> </w:t>
      </w:r>
      <w:r w:rsidRPr="004063F7">
        <w:rPr>
          <w:rFonts w:ascii="Times New Roman" w:hAnsi="Times New Roman" w:cs="Times New Roman"/>
          <w:i/>
          <w:sz w:val="20"/>
          <w:szCs w:val="20"/>
          <w:lang w:val="en-GB" w:eastAsia="fr-FR"/>
        </w:rPr>
        <w:t>Hirst v. the United Kingdom (no. 2)</w:t>
      </w:r>
      <w:r w:rsidRPr="004063F7">
        <w:rPr>
          <w:rFonts w:ascii="Times New Roman" w:hAnsi="Times New Roman" w:cs="Times New Roman"/>
          <w:sz w:val="20"/>
          <w:szCs w:val="20"/>
          <w:lang w:val="en-GB" w:eastAsia="fr-FR"/>
        </w:rPr>
        <w:t xml:space="preserve"> [GC], no. 74025/01, § </w:t>
      </w:r>
      <w:r>
        <w:rPr>
          <w:rFonts w:ascii="Times New Roman" w:hAnsi="Times New Roman" w:cs="Times New Roman"/>
          <w:sz w:val="20"/>
          <w:szCs w:val="20"/>
          <w:lang w:val="en-GB" w:eastAsia="fr-FR"/>
        </w:rPr>
        <w:t>61</w:t>
      </w:r>
      <w:r w:rsidRPr="004063F7">
        <w:rPr>
          <w:rFonts w:ascii="Times New Roman" w:hAnsi="Times New Roman" w:cs="Times New Roman"/>
          <w:sz w:val="20"/>
          <w:szCs w:val="20"/>
          <w:lang w:val="en-GB" w:eastAsia="fr-FR"/>
        </w:rPr>
        <w:t>, ECHR 2005</w:t>
      </w:r>
      <w:r w:rsidRPr="004063F7">
        <w:rPr>
          <w:rFonts w:ascii="Times New Roman" w:hAnsi="Times New Roman" w:cs="Times New Roman"/>
          <w:sz w:val="20"/>
          <w:szCs w:val="20"/>
          <w:lang w:val="en-GB" w:eastAsia="fr-FR"/>
        </w:rPr>
        <w:noBreakHyphen/>
        <w:t>IX</w:t>
      </w:r>
    </w:p>
  </w:footnote>
  <w:footnote w:id="18">
    <w:p w:rsidR="000273AF" w:rsidRPr="000273AF" w:rsidRDefault="000273AF">
      <w:pPr>
        <w:pStyle w:val="Notedebasdepage"/>
        <w:rPr>
          <w:rFonts w:ascii="Times New Roman" w:hAnsi="Times New Roman" w:cs="Times New Roman"/>
          <w:lang w:val="en-GB"/>
        </w:rPr>
      </w:pPr>
      <w:r w:rsidRPr="000273AF">
        <w:rPr>
          <w:rStyle w:val="Appelnotedebasdep"/>
          <w:rFonts w:ascii="Times New Roman" w:hAnsi="Times New Roman" w:cs="Times New Roman"/>
        </w:rPr>
        <w:footnoteRef/>
      </w:r>
      <w:r w:rsidRPr="000273AF">
        <w:rPr>
          <w:rFonts w:ascii="Times New Roman" w:hAnsi="Times New Roman" w:cs="Times New Roman"/>
        </w:rPr>
        <w:t xml:space="preserve"> </w:t>
      </w:r>
      <w:r>
        <w:rPr>
          <w:rFonts w:ascii="Times New Roman" w:hAnsi="Times New Roman" w:cs="Times New Roman"/>
        </w:rPr>
        <w:t xml:space="preserve">See, for example, </w:t>
      </w:r>
      <w:r w:rsidRPr="000273AF">
        <w:rPr>
          <w:rFonts w:ascii="Times New Roman" w:hAnsi="Times New Roman" w:cs="Times New Roman"/>
          <w:i/>
          <w:lang w:val="en-GB" w:eastAsia="fr-FR"/>
        </w:rPr>
        <w:t>Melnychenko v. Ukraine</w:t>
      </w:r>
      <w:r w:rsidRPr="000273AF">
        <w:rPr>
          <w:rFonts w:ascii="Times New Roman" w:hAnsi="Times New Roman" w:cs="Times New Roman"/>
          <w:lang w:val="en-GB" w:eastAsia="fr-FR"/>
        </w:rPr>
        <w:t>, no. 17707/02, ECHR 2004</w:t>
      </w:r>
      <w:r w:rsidRPr="000273AF">
        <w:rPr>
          <w:rFonts w:ascii="Times New Roman" w:hAnsi="Times New Roman" w:cs="Times New Roman"/>
          <w:lang w:val="en-GB" w:eastAsia="fr-FR"/>
        </w:rPr>
        <w:noBreakHyphen/>
        <w:t>X</w:t>
      </w:r>
    </w:p>
  </w:footnote>
  <w:footnote w:id="19">
    <w:p w:rsidR="00AA15B3" w:rsidRPr="00AA15B3" w:rsidRDefault="00AA15B3">
      <w:pPr>
        <w:pStyle w:val="Notedebasdepage"/>
        <w:rPr>
          <w:lang w:val="en-GB"/>
        </w:rPr>
      </w:pPr>
      <w:r>
        <w:rPr>
          <w:rStyle w:val="Appelnotedebasdep"/>
        </w:rPr>
        <w:footnoteRef/>
      </w:r>
      <w:r>
        <w:t xml:space="preserve"> </w:t>
      </w:r>
      <w:r w:rsidRPr="004063F7">
        <w:rPr>
          <w:rFonts w:ascii="Times New Roman" w:hAnsi="Times New Roman" w:cs="Times New Roman"/>
          <w:i/>
          <w:lang w:val="en-GB" w:eastAsia="fr-FR"/>
        </w:rPr>
        <w:t>Hirst v. the United Kingdom (no. 2)</w:t>
      </w:r>
      <w:r w:rsidRPr="004063F7">
        <w:rPr>
          <w:rFonts w:ascii="Times New Roman" w:hAnsi="Times New Roman" w:cs="Times New Roman"/>
          <w:lang w:val="en-GB" w:eastAsia="fr-FR"/>
        </w:rPr>
        <w:t xml:space="preserve"> [GC], no. 74025/01, § </w:t>
      </w:r>
      <w:r>
        <w:rPr>
          <w:rFonts w:ascii="Times New Roman" w:hAnsi="Times New Roman" w:cs="Times New Roman"/>
          <w:lang w:val="en-GB" w:eastAsia="fr-FR"/>
        </w:rPr>
        <w:t>62</w:t>
      </w:r>
      <w:r w:rsidRPr="004063F7">
        <w:rPr>
          <w:rFonts w:ascii="Times New Roman" w:hAnsi="Times New Roman" w:cs="Times New Roman"/>
          <w:lang w:val="en-GB" w:eastAsia="fr-FR"/>
        </w:rPr>
        <w:t>, ECHR 2005</w:t>
      </w:r>
      <w:r w:rsidRPr="004063F7">
        <w:rPr>
          <w:rFonts w:ascii="Times New Roman" w:hAnsi="Times New Roman" w:cs="Times New Roman"/>
          <w:lang w:val="en-GB" w:eastAsia="fr-FR"/>
        </w:rPr>
        <w:noBreakHyphen/>
        <w:t>IX</w:t>
      </w:r>
    </w:p>
  </w:footnote>
  <w:footnote w:id="20">
    <w:p w:rsidR="00662439" w:rsidRPr="00662439" w:rsidRDefault="00662439">
      <w:pPr>
        <w:pStyle w:val="Notedebasdepage"/>
        <w:rPr>
          <w:rFonts w:ascii="Times New Roman" w:hAnsi="Times New Roman" w:cs="Times New Roman"/>
          <w:lang w:val="en-GB"/>
        </w:rPr>
      </w:pPr>
      <w:r w:rsidRPr="00662439">
        <w:rPr>
          <w:rStyle w:val="Appelnotedebasdep"/>
          <w:rFonts w:ascii="Times New Roman" w:hAnsi="Times New Roman" w:cs="Times New Roman"/>
        </w:rPr>
        <w:footnoteRef/>
      </w:r>
      <w:r w:rsidRPr="00662439">
        <w:rPr>
          <w:rFonts w:ascii="Times New Roman" w:hAnsi="Times New Roman" w:cs="Times New Roman"/>
        </w:rPr>
        <w:t xml:space="preserve"> </w:t>
      </w:r>
      <w:r w:rsidRPr="00662439">
        <w:rPr>
          <w:rFonts w:ascii="Times New Roman" w:hAnsi="Times New Roman" w:cs="Times New Roman"/>
          <w:i/>
          <w:lang w:val="it-IT" w:eastAsia="fr-FR"/>
        </w:rPr>
        <w:t>Scoppola v. Italy (no. 3)</w:t>
      </w:r>
      <w:r w:rsidRPr="00662439">
        <w:rPr>
          <w:rFonts w:ascii="Times New Roman" w:hAnsi="Times New Roman" w:cs="Times New Roman"/>
          <w:lang w:val="it-IT" w:eastAsia="fr-FR"/>
        </w:rPr>
        <w:t xml:space="preserve"> [GC], no. 126/05</w:t>
      </w:r>
      <w:r w:rsidRPr="00662439">
        <w:rPr>
          <w:rFonts w:ascii="Times New Roman" w:hAnsi="Times New Roman" w:cs="Times New Roman"/>
          <w:snapToGrid w:val="0"/>
          <w:lang w:val="it-IT" w:eastAsia="fr-FR"/>
        </w:rPr>
        <w:t xml:space="preserve">, § </w:t>
      </w:r>
      <w:r w:rsidR="00414E60">
        <w:rPr>
          <w:rFonts w:ascii="Times New Roman" w:hAnsi="Times New Roman" w:cs="Times New Roman"/>
          <w:snapToGrid w:val="0"/>
          <w:lang w:val="it-IT" w:eastAsia="fr-FR"/>
        </w:rPr>
        <w:t>102</w:t>
      </w:r>
      <w:r w:rsidRPr="00662439">
        <w:rPr>
          <w:rFonts w:ascii="Times New Roman" w:hAnsi="Times New Roman" w:cs="Times New Roman"/>
          <w:snapToGrid w:val="0"/>
          <w:lang w:val="it-IT" w:eastAsia="fr-FR"/>
        </w:rPr>
        <w:t>, 22 May 2012</w:t>
      </w:r>
    </w:p>
  </w:footnote>
  <w:footnote w:id="21">
    <w:p w:rsidR="00FA07C0" w:rsidRPr="00FA07C0" w:rsidRDefault="00FA07C0" w:rsidP="00FA07C0">
      <w:pPr>
        <w:pStyle w:val="ECHRPara"/>
        <w:rPr>
          <w:rFonts w:ascii="Times New Roman" w:hAnsi="Times New Roman" w:cs="Times New Roman"/>
          <w:i/>
          <w:sz w:val="20"/>
          <w:szCs w:val="20"/>
          <w:lang w:val="en-GB" w:eastAsia="fr-FR"/>
        </w:rPr>
      </w:pPr>
      <w:r w:rsidRPr="00FA07C0">
        <w:rPr>
          <w:rStyle w:val="Appelnotedebasdep"/>
          <w:rFonts w:ascii="Times New Roman" w:hAnsi="Times New Roman" w:cs="Times New Roman"/>
          <w:sz w:val="20"/>
          <w:szCs w:val="20"/>
        </w:rPr>
        <w:footnoteRef/>
      </w:r>
      <w:r w:rsidRPr="00FA07C0">
        <w:rPr>
          <w:rFonts w:ascii="Times New Roman" w:hAnsi="Times New Roman" w:cs="Times New Roman"/>
          <w:sz w:val="20"/>
          <w:szCs w:val="20"/>
        </w:rPr>
        <w:t xml:space="preserve"> </w:t>
      </w:r>
      <w:r w:rsidRPr="00FA07C0">
        <w:rPr>
          <w:rFonts w:ascii="Times New Roman" w:hAnsi="Times New Roman" w:cs="Times New Roman"/>
          <w:i/>
          <w:sz w:val="20"/>
          <w:szCs w:val="20"/>
          <w:lang w:val="en-GB" w:eastAsia="fr-FR"/>
        </w:rPr>
        <w:t>Alajos Kiss v. Hungary</w:t>
      </w:r>
      <w:r w:rsidRPr="00FA07C0">
        <w:rPr>
          <w:rFonts w:ascii="Times New Roman" w:hAnsi="Times New Roman" w:cs="Times New Roman"/>
          <w:sz w:val="20"/>
          <w:szCs w:val="20"/>
          <w:lang w:val="en-GB" w:eastAsia="fr-FR"/>
        </w:rPr>
        <w:t>, no. 38832/06, §</w:t>
      </w:r>
      <w:r>
        <w:rPr>
          <w:rFonts w:ascii="Times New Roman" w:hAnsi="Times New Roman" w:cs="Times New Roman"/>
          <w:sz w:val="20"/>
          <w:szCs w:val="20"/>
          <w:lang w:val="en-GB" w:eastAsia="fr-FR"/>
        </w:rPr>
        <w:t>§</w:t>
      </w:r>
      <w:r w:rsidRPr="00FA07C0">
        <w:rPr>
          <w:rFonts w:ascii="Times New Roman" w:hAnsi="Times New Roman" w:cs="Times New Roman"/>
          <w:sz w:val="20"/>
          <w:szCs w:val="20"/>
          <w:lang w:val="en-GB" w:eastAsia="fr-FR"/>
        </w:rPr>
        <w:t xml:space="preserve"> </w:t>
      </w:r>
      <w:r>
        <w:rPr>
          <w:rFonts w:ascii="Times New Roman" w:hAnsi="Times New Roman" w:cs="Times New Roman"/>
          <w:sz w:val="20"/>
          <w:szCs w:val="20"/>
          <w:lang w:val="en-GB" w:eastAsia="fr-FR"/>
        </w:rPr>
        <w:t>39-44</w:t>
      </w:r>
      <w:r w:rsidRPr="00FA07C0">
        <w:rPr>
          <w:rFonts w:ascii="Times New Roman" w:hAnsi="Times New Roman" w:cs="Times New Roman"/>
          <w:sz w:val="20"/>
          <w:szCs w:val="20"/>
          <w:lang w:val="en-GB" w:eastAsia="fr-FR"/>
        </w:rPr>
        <w:t>, 20 May 2010</w:t>
      </w:r>
    </w:p>
  </w:footnote>
  <w:footnote w:id="22">
    <w:p w:rsidR="002A79A6" w:rsidRPr="002A79A6" w:rsidRDefault="002A79A6" w:rsidP="002A79A6">
      <w:pPr>
        <w:pStyle w:val="ECHRPara"/>
        <w:rPr>
          <w:rFonts w:ascii="Times New Roman" w:hAnsi="Times New Roman"/>
          <w:i/>
          <w:sz w:val="20"/>
          <w:szCs w:val="20"/>
          <w:lang w:val="en-GB" w:eastAsia="fr-FR"/>
        </w:rPr>
      </w:pPr>
      <w:r w:rsidRPr="002A79A6">
        <w:rPr>
          <w:rStyle w:val="Appelnotedebasdep"/>
          <w:sz w:val="20"/>
          <w:szCs w:val="20"/>
        </w:rPr>
        <w:footnoteRef/>
      </w:r>
      <w:r w:rsidRPr="002A79A6">
        <w:rPr>
          <w:sz w:val="20"/>
          <w:szCs w:val="20"/>
        </w:rPr>
        <w:t xml:space="preserve"> </w:t>
      </w:r>
      <w:r w:rsidRPr="002A79A6">
        <w:rPr>
          <w:rFonts w:ascii="Times New Roman" w:hAnsi="Times New Roman"/>
          <w:i/>
          <w:sz w:val="20"/>
          <w:szCs w:val="20"/>
          <w:lang w:val="en-GB" w:eastAsia="fr-FR"/>
        </w:rPr>
        <w:t xml:space="preserve">Shindler </w:t>
      </w:r>
      <w:r w:rsidRPr="002A79A6">
        <w:rPr>
          <w:rFonts w:ascii="Times New Roman" w:hAnsi="Times New Roman"/>
          <w:i/>
          <w:snapToGrid w:val="0"/>
          <w:sz w:val="20"/>
          <w:szCs w:val="20"/>
          <w:lang w:val="en-GB" w:eastAsia="fr-FR"/>
        </w:rPr>
        <w:t>v. the United Kingdom</w:t>
      </w:r>
      <w:r w:rsidRPr="002A79A6">
        <w:rPr>
          <w:rFonts w:ascii="Times New Roman" w:hAnsi="Times New Roman"/>
          <w:snapToGrid w:val="0"/>
          <w:sz w:val="20"/>
          <w:szCs w:val="20"/>
          <w:lang w:val="en-GB" w:eastAsia="fr-FR"/>
        </w:rPr>
        <w:t>, no.</w:t>
      </w:r>
      <w:r w:rsidRPr="002A79A6">
        <w:rPr>
          <w:rFonts w:ascii="Times New Roman" w:hAnsi="Times New Roman"/>
          <w:sz w:val="20"/>
          <w:szCs w:val="20"/>
          <w:lang w:val="en-GB" w:eastAsia="fr-FR"/>
        </w:rPr>
        <w:t xml:space="preserve"> 19840/09</w:t>
      </w:r>
      <w:r w:rsidRPr="002A79A6">
        <w:rPr>
          <w:rFonts w:ascii="Times New Roman" w:hAnsi="Times New Roman"/>
          <w:snapToGrid w:val="0"/>
          <w:sz w:val="20"/>
          <w:szCs w:val="20"/>
          <w:lang w:val="en-GB" w:eastAsia="fr-FR"/>
        </w:rPr>
        <w:t>, 7 May 2013</w:t>
      </w:r>
    </w:p>
  </w:footnote>
  <w:footnote w:id="23">
    <w:p w:rsidR="009C51A9" w:rsidRPr="009C51A9" w:rsidRDefault="009C51A9">
      <w:pPr>
        <w:pStyle w:val="Notedebasdepage"/>
        <w:rPr>
          <w:rFonts w:ascii="Times New Roman" w:hAnsi="Times New Roman" w:cs="Times New Roman"/>
          <w:lang w:val="en-GB"/>
        </w:rPr>
      </w:pPr>
      <w:r w:rsidRPr="009C51A9">
        <w:rPr>
          <w:rStyle w:val="Appelnotedebasdep"/>
          <w:rFonts w:ascii="Times New Roman" w:hAnsi="Times New Roman" w:cs="Times New Roman"/>
        </w:rPr>
        <w:footnoteRef/>
      </w:r>
      <w:r w:rsidRPr="009C51A9">
        <w:rPr>
          <w:rFonts w:ascii="Times New Roman" w:hAnsi="Times New Roman" w:cs="Times New Roman"/>
        </w:rPr>
        <w:t xml:space="preserve"> </w:t>
      </w:r>
      <w:bookmarkStart w:id="1" w:name="File2"/>
      <w:r w:rsidRPr="009C51A9">
        <w:rPr>
          <w:rFonts w:ascii="Times New Roman" w:hAnsi="Times New Roman" w:cs="Times New Roman"/>
          <w:i/>
          <w:lang w:val="en-GB"/>
        </w:rPr>
        <w:t>Aziz</w:t>
      </w:r>
      <w:bookmarkEnd w:id="1"/>
      <w:r w:rsidRPr="009C51A9">
        <w:rPr>
          <w:rFonts w:ascii="Times New Roman" w:hAnsi="Times New Roman" w:cs="Times New Roman"/>
          <w:i/>
          <w:lang w:val="en-GB"/>
        </w:rPr>
        <w:t xml:space="preserve"> v. Cyprus</w:t>
      </w:r>
      <w:r w:rsidRPr="009C51A9">
        <w:rPr>
          <w:rFonts w:ascii="Times New Roman" w:hAnsi="Times New Roman" w:cs="Times New Roman"/>
          <w:lang w:val="en-GB"/>
        </w:rPr>
        <w:t>, no. 69949/01, ECHR 2004</w:t>
      </w:r>
      <w:r w:rsidRPr="009C51A9">
        <w:rPr>
          <w:rFonts w:ascii="Times New Roman" w:hAnsi="Times New Roman" w:cs="Times New Roman"/>
          <w:lang w:val="en-GB"/>
        </w:rPr>
        <w:noBreakHyphen/>
        <w:t>V</w:t>
      </w:r>
    </w:p>
  </w:footnote>
  <w:footnote w:id="24">
    <w:p w:rsidR="009C51A9" w:rsidRPr="00414E60" w:rsidRDefault="009C51A9" w:rsidP="009C51A9">
      <w:pPr>
        <w:pStyle w:val="Notedebasdepage"/>
        <w:rPr>
          <w:lang w:val="en-GB"/>
        </w:rPr>
      </w:pPr>
      <w:r>
        <w:rPr>
          <w:rStyle w:val="Appelnotedebasdep"/>
        </w:rPr>
        <w:footnoteRef/>
      </w:r>
      <w:r>
        <w:t xml:space="preserve"> </w:t>
      </w:r>
      <w:r w:rsidRPr="000273AF">
        <w:rPr>
          <w:rFonts w:ascii="Times New Roman" w:hAnsi="Times New Roman" w:cs="Times New Roman"/>
          <w:i/>
          <w:lang w:val="en-GB" w:eastAsia="fr-FR"/>
        </w:rPr>
        <w:t>Melnychenko v. Ukraine</w:t>
      </w:r>
      <w:r w:rsidRPr="000273AF">
        <w:rPr>
          <w:rFonts w:ascii="Times New Roman" w:hAnsi="Times New Roman" w:cs="Times New Roman"/>
          <w:lang w:val="en-GB" w:eastAsia="fr-FR"/>
        </w:rPr>
        <w:t xml:space="preserve">, no. 17707/02, </w:t>
      </w:r>
      <w:r>
        <w:rPr>
          <w:rFonts w:ascii="Times New Roman" w:hAnsi="Times New Roman" w:cs="Times New Roman"/>
          <w:lang w:val="en-GB" w:eastAsia="fr-FR"/>
        </w:rPr>
        <w:t xml:space="preserve">§§ 61-67, </w:t>
      </w:r>
      <w:r w:rsidRPr="000273AF">
        <w:rPr>
          <w:rFonts w:ascii="Times New Roman" w:hAnsi="Times New Roman" w:cs="Times New Roman"/>
          <w:lang w:val="en-GB" w:eastAsia="fr-FR"/>
        </w:rPr>
        <w:t>ECHR 2004</w:t>
      </w:r>
      <w:r w:rsidRPr="000273AF">
        <w:rPr>
          <w:rFonts w:ascii="Times New Roman" w:hAnsi="Times New Roman" w:cs="Times New Roman"/>
          <w:lang w:val="en-GB" w:eastAsia="fr-FR"/>
        </w:rPr>
        <w:noBreakHyphen/>
        <w:t>X</w:t>
      </w:r>
    </w:p>
  </w:footnote>
  <w:footnote w:id="25">
    <w:p w:rsidR="00E226B6" w:rsidRPr="00E226B6" w:rsidRDefault="00E226B6">
      <w:pPr>
        <w:pStyle w:val="Notedebasdepage"/>
        <w:rPr>
          <w:rFonts w:ascii="Times New Roman" w:hAnsi="Times New Roman" w:cs="Times New Roman"/>
          <w:lang w:val="en-GB"/>
        </w:rPr>
      </w:pPr>
      <w:r w:rsidRPr="00E226B6">
        <w:rPr>
          <w:rStyle w:val="Appelnotedebasdep"/>
          <w:rFonts w:ascii="Times New Roman" w:hAnsi="Times New Roman" w:cs="Times New Roman"/>
        </w:rPr>
        <w:footnoteRef/>
      </w:r>
      <w:r w:rsidRPr="00E226B6">
        <w:rPr>
          <w:rFonts w:ascii="Times New Roman" w:hAnsi="Times New Roman" w:cs="Times New Roman"/>
        </w:rPr>
        <w:t xml:space="preserve"> </w:t>
      </w:r>
      <w:r w:rsidRPr="00E226B6">
        <w:rPr>
          <w:rFonts w:ascii="Times New Roman" w:hAnsi="Times New Roman" w:cs="Times New Roman"/>
          <w:i/>
          <w:lang w:val="en-GB"/>
        </w:rPr>
        <w:t>Atakishi v. Azerbaijan</w:t>
      </w:r>
      <w:r w:rsidRPr="00E226B6">
        <w:rPr>
          <w:rFonts w:ascii="Times New Roman" w:hAnsi="Times New Roman" w:cs="Times New Roman"/>
          <w:lang w:val="en-GB"/>
        </w:rPr>
        <w:t>, no. 18469/06</w:t>
      </w:r>
      <w:r w:rsidRPr="00E226B6">
        <w:rPr>
          <w:rFonts w:ascii="Times New Roman" w:hAnsi="Times New Roman" w:cs="Times New Roman"/>
          <w:snapToGrid w:val="0"/>
          <w:szCs w:val="24"/>
          <w:lang w:val="en-GB"/>
        </w:rPr>
        <w:t>, 28 February 2012</w:t>
      </w:r>
    </w:p>
  </w:footnote>
  <w:footnote w:id="26">
    <w:p w:rsidR="00E226B6" w:rsidRPr="00E226B6" w:rsidRDefault="00E226B6">
      <w:pPr>
        <w:pStyle w:val="Notedebasdepage"/>
        <w:rPr>
          <w:rFonts w:ascii="Times New Roman" w:hAnsi="Times New Roman" w:cs="Times New Roman"/>
          <w:lang w:val="en-GB"/>
        </w:rPr>
      </w:pPr>
      <w:r w:rsidRPr="00E226B6">
        <w:rPr>
          <w:rStyle w:val="Appelnotedebasdep"/>
          <w:rFonts w:ascii="Times New Roman" w:hAnsi="Times New Roman" w:cs="Times New Roman"/>
        </w:rPr>
        <w:footnoteRef/>
      </w:r>
      <w:r w:rsidRPr="00E226B6">
        <w:rPr>
          <w:rFonts w:ascii="Times New Roman" w:hAnsi="Times New Roman" w:cs="Times New Roman"/>
        </w:rPr>
        <w:t xml:space="preserve"> </w:t>
      </w:r>
      <w:r w:rsidRPr="00E226B6">
        <w:rPr>
          <w:rFonts w:ascii="Times New Roman" w:hAnsi="Times New Roman" w:cs="Times New Roman"/>
          <w:i/>
          <w:lang w:val="en-GB"/>
        </w:rPr>
        <w:t>Sarukhanyan v. Armenia</w:t>
      </w:r>
      <w:r w:rsidRPr="00E226B6">
        <w:rPr>
          <w:rFonts w:ascii="Times New Roman" w:hAnsi="Times New Roman" w:cs="Times New Roman"/>
          <w:lang w:val="en-GB"/>
        </w:rPr>
        <w:t>, no. 38978/03, 27 May 2008</w:t>
      </w:r>
    </w:p>
  </w:footnote>
  <w:footnote w:id="27">
    <w:p w:rsidR="00E226B6" w:rsidRPr="00E226B6" w:rsidRDefault="00E226B6">
      <w:pPr>
        <w:pStyle w:val="Notedebasdepage"/>
        <w:rPr>
          <w:lang w:val="en-GB"/>
        </w:rPr>
      </w:pPr>
      <w:r>
        <w:rPr>
          <w:rStyle w:val="Appelnotedebasdep"/>
        </w:rPr>
        <w:footnoteRef/>
      </w:r>
      <w:r>
        <w:t xml:space="preserve"> </w:t>
      </w:r>
      <w:r w:rsidRPr="0077117A">
        <w:rPr>
          <w:rFonts w:ascii="Times New Roman" w:hAnsi="Times New Roman"/>
          <w:i/>
        </w:rPr>
        <w:t>Melnychenko v. Ukraine</w:t>
      </w:r>
      <w:r w:rsidRPr="0077117A">
        <w:rPr>
          <w:rFonts w:ascii="Times New Roman" w:hAnsi="Times New Roman"/>
        </w:rPr>
        <w:t>, no. 17707/02, ECHR 2004</w:t>
      </w:r>
      <w:r w:rsidRPr="0077117A">
        <w:rPr>
          <w:rFonts w:ascii="Times New Roman" w:hAnsi="Times New Roman"/>
        </w:rPr>
        <w:noBreakHyphen/>
        <w:t>X</w:t>
      </w:r>
    </w:p>
  </w:footnote>
  <w:footnote w:id="28">
    <w:p w:rsidR="00825F01" w:rsidRPr="00825F01" w:rsidRDefault="00825F01">
      <w:pPr>
        <w:pStyle w:val="Notedebasdepage"/>
        <w:rPr>
          <w:lang w:val="en-GB"/>
        </w:rPr>
      </w:pPr>
      <w:r>
        <w:rPr>
          <w:rStyle w:val="Appelnotedebasdep"/>
        </w:rPr>
        <w:footnoteRef/>
      </w:r>
      <w:r>
        <w:t xml:space="preserve"> </w:t>
      </w:r>
      <w:r w:rsidRPr="0077117A">
        <w:rPr>
          <w:rFonts w:ascii="Times New Roman" w:hAnsi="Times New Roman"/>
          <w:i/>
        </w:rPr>
        <w:t>Podkolzina v. Latvia</w:t>
      </w:r>
      <w:r w:rsidRPr="0077117A">
        <w:rPr>
          <w:rFonts w:ascii="Times New Roman" w:hAnsi="Times New Roman"/>
        </w:rPr>
        <w:t>, no. 46726/99, § 35, ECHR 2002</w:t>
      </w:r>
      <w:r w:rsidRPr="0077117A">
        <w:rPr>
          <w:rFonts w:ascii="Times New Roman" w:hAnsi="Times New Roman"/>
        </w:rPr>
        <w:noBreakHyphen/>
        <w:t>II</w:t>
      </w:r>
    </w:p>
  </w:footnote>
  <w:footnote w:id="29">
    <w:p w:rsidR="00825F01" w:rsidRPr="00825F01" w:rsidRDefault="00825F01">
      <w:pPr>
        <w:pStyle w:val="Notedebasdepage"/>
        <w:rPr>
          <w:lang w:val="en-GB"/>
        </w:rPr>
      </w:pPr>
      <w:r>
        <w:rPr>
          <w:rStyle w:val="Appelnotedebasdep"/>
        </w:rPr>
        <w:footnoteRef/>
      </w:r>
      <w:r>
        <w:t xml:space="preserve"> </w:t>
      </w:r>
      <w:r>
        <w:rPr>
          <w:rFonts w:ascii="Times New Roman" w:hAnsi="Times New Roman"/>
        </w:rPr>
        <w:t>Among other authorities, al</w:t>
      </w:r>
      <w:r w:rsidR="00C8284C">
        <w:rPr>
          <w:rFonts w:ascii="Times New Roman" w:hAnsi="Times New Roman"/>
        </w:rPr>
        <w:t>so</w:t>
      </w:r>
      <w:r>
        <w:rPr>
          <w:rFonts w:ascii="Times New Roman" w:hAnsi="Times New Roman"/>
        </w:rPr>
        <w:t xml:space="preserve"> see </w:t>
      </w:r>
      <w:r w:rsidRPr="0077117A">
        <w:rPr>
          <w:rFonts w:ascii="Times New Roman" w:hAnsi="Times New Roman"/>
          <w:i/>
        </w:rPr>
        <w:t>Krasnov and Skuratov v. Russia</w:t>
      </w:r>
      <w:r w:rsidRPr="0077117A">
        <w:rPr>
          <w:rFonts w:ascii="Times New Roman" w:hAnsi="Times New Roman"/>
        </w:rPr>
        <w:t xml:space="preserve">, nos. 17864/04 and 21396/04, § 42, 19 July 2007; </w:t>
      </w:r>
      <w:r w:rsidRPr="0077117A">
        <w:rPr>
          <w:rFonts w:ascii="Times New Roman" w:hAnsi="Times New Roman"/>
          <w:i/>
        </w:rPr>
        <w:t>Lykourezos v. Greece</w:t>
      </w:r>
      <w:r w:rsidRPr="0077117A">
        <w:rPr>
          <w:rFonts w:ascii="Times New Roman" w:hAnsi="Times New Roman"/>
        </w:rPr>
        <w:t xml:space="preserve">, no. 33554/03, § 56 </w:t>
      </w:r>
      <w:r w:rsidRPr="0077117A">
        <w:rPr>
          <w:rFonts w:ascii="Times New Roman" w:hAnsi="Times New Roman"/>
          <w:i/>
        </w:rPr>
        <w:t>in fine</w:t>
      </w:r>
      <w:r w:rsidRPr="0077117A">
        <w:rPr>
          <w:rFonts w:ascii="Times New Roman" w:hAnsi="Times New Roman"/>
        </w:rPr>
        <w:t>, ECHR 2006</w:t>
      </w:r>
      <w:r w:rsidRPr="0077117A">
        <w:rPr>
          <w:rFonts w:ascii="Times New Roman" w:hAnsi="Times New Roman"/>
        </w:rPr>
        <w:noBreakHyphen/>
        <w:t xml:space="preserve">VIII; </w:t>
      </w:r>
      <w:r w:rsidRPr="0077117A">
        <w:rPr>
          <w:rFonts w:ascii="Times New Roman" w:hAnsi="Times New Roman"/>
          <w:i/>
        </w:rPr>
        <w:t>Kovach v. Ukraine</w:t>
      </w:r>
      <w:r w:rsidRPr="0077117A">
        <w:rPr>
          <w:rFonts w:ascii="Times New Roman" w:hAnsi="Times New Roman"/>
        </w:rPr>
        <w:t xml:space="preserve">, no. 39424/02, § 54, ECHR-2008; </w:t>
      </w:r>
      <w:r w:rsidRPr="0077117A">
        <w:rPr>
          <w:rFonts w:ascii="Times New Roman" w:hAnsi="Times New Roman"/>
          <w:i/>
        </w:rPr>
        <w:t>Ādamsons v. Latvia</w:t>
      </w:r>
      <w:r w:rsidRPr="0077117A">
        <w:rPr>
          <w:rFonts w:ascii="Times New Roman" w:hAnsi="Times New Roman"/>
        </w:rPr>
        <w:t>, no. 3669/03, 111 (e) and 117</w:t>
      </w:r>
      <w:r w:rsidRPr="0077117A">
        <w:rPr>
          <w:rFonts w:ascii="Times New Roman" w:hAnsi="Times New Roman"/>
        </w:rPr>
        <w:noBreakHyphen/>
        <w:t xml:space="preserve">19, 24 June 2008; and </w:t>
      </w:r>
      <w:r w:rsidRPr="0077117A">
        <w:rPr>
          <w:rFonts w:ascii="Times New Roman" w:hAnsi="Times New Roman"/>
          <w:i/>
          <w:lang w:val="en-GB"/>
        </w:rPr>
        <w:t>Petkov and Others v. Bulgaria</w:t>
      </w:r>
      <w:r w:rsidRPr="0077117A">
        <w:rPr>
          <w:rFonts w:ascii="Times New Roman" w:hAnsi="Times New Roman"/>
          <w:lang w:val="en-GB"/>
        </w:rPr>
        <w:t xml:space="preserve">, nos. 77568/01, 178/02 and 505/02, </w:t>
      </w:r>
      <w:r w:rsidRPr="0077117A">
        <w:rPr>
          <w:rFonts w:ascii="Times New Roman" w:hAnsi="Times New Roman"/>
          <w:snapToGrid w:val="0"/>
          <w:lang w:val="en-GB"/>
        </w:rPr>
        <w:t xml:space="preserve">§ 61, </w:t>
      </w:r>
      <w:r w:rsidRPr="0077117A">
        <w:rPr>
          <w:rFonts w:ascii="Times New Roman" w:hAnsi="Times New Roman"/>
          <w:lang w:val="en-GB"/>
        </w:rPr>
        <w:t>11 June 2009</w:t>
      </w:r>
    </w:p>
  </w:footnote>
  <w:footnote w:id="30">
    <w:p w:rsidR="00C8284C" w:rsidRPr="00C8284C" w:rsidRDefault="00C8284C" w:rsidP="00C8284C">
      <w:pPr>
        <w:pStyle w:val="ECHRPara"/>
        <w:rPr>
          <w:lang w:val="en-GB"/>
        </w:rPr>
      </w:pPr>
      <w:r w:rsidRPr="00C8284C">
        <w:rPr>
          <w:rStyle w:val="Appelnotedebasdep"/>
          <w:rFonts w:ascii="Times New Roman" w:hAnsi="Times New Roman" w:cs="Times New Roman"/>
          <w:sz w:val="20"/>
          <w:szCs w:val="20"/>
        </w:rPr>
        <w:footnoteRef/>
      </w:r>
      <w:r w:rsidRPr="00C8284C">
        <w:rPr>
          <w:rFonts w:ascii="Times New Roman" w:hAnsi="Times New Roman" w:cs="Times New Roman"/>
          <w:sz w:val="20"/>
          <w:szCs w:val="20"/>
        </w:rPr>
        <w:t xml:space="preserve"> </w:t>
      </w:r>
      <w:r w:rsidRPr="00C8284C">
        <w:rPr>
          <w:rFonts w:ascii="Times New Roman" w:hAnsi="Times New Roman" w:cs="Times New Roman"/>
          <w:i/>
          <w:sz w:val="20"/>
          <w:szCs w:val="20"/>
          <w:lang w:val="en-GB"/>
        </w:rPr>
        <w:t>Georgian Labour Party v. Georgia</w:t>
      </w:r>
      <w:r w:rsidRPr="00C8284C">
        <w:rPr>
          <w:rFonts w:ascii="Times New Roman" w:hAnsi="Times New Roman" w:cs="Times New Roman"/>
          <w:sz w:val="20"/>
          <w:szCs w:val="20"/>
          <w:lang w:val="en-GB"/>
        </w:rPr>
        <w:t>, no. 9103/04, ECHR 2008</w:t>
      </w:r>
    </w:p>
  </w:footnote>
  <w:footnote w:id="31">
    <w:p w:rsidR="00C8284C" w:rsidRPr="00C8284C" w:rsidRDefault="00C8284C">
      <w:pPr>
        <w:pStyle w:val="Notedebasdepage"/>
        <w:rPr>
          <w:rFonts w:ascii="Times New Roman" w:hAnsi="Times New Roman" w:cs="Times New Roman"/>
          <w:i/>
          <w:lang w:val="en-GB"/>
        </w:rPr>
      </w:pPr>
      <w:r w:rsidRPr="00C8284C">
        <w:rPr>
          <w:rStyle w:val="Appelnotedebasdep"/>
          <w:rFonts w:ascii="Times New Roman" w:hAnsi="Times New Roman" w:cs="Times New Roman"/>
        </w:rPr>
        <w:footnoteRef/>
      </w:r>
      <w:r w:rsidRPr="00C8284C">
        <w:rPr>
          <w:rFonts w:ascii="Times New Roman" w:hAnsi="Times New Roman" w:cs="Times New Roman"/>
        </w:rPr>
        <w:t xml:space="preserve"> </w:t>
      </w:r>
      <w:r w:rsidRPr="00C8284C">
        <w:rPr>
          <w:rFonts w:ascii="Times New Roman" w:hAnsi="Times New Roman" w:cs="Times New Roman"/>
          <w:i/>
        </w:rPr>
        <w:t>Ibid.</w:t>
      </w:r>
    </w:p>
  </w:footnote>
  <w:footnote w:id="32">
    <w:p w:rsidR="00C8284C" w:rsidRPr="00C8284C" w:rsidRDefault="00C8284C">
      <w:pPr>
        <w:pStyle w:val="Notedebasdepage"/>
        <w:rPr>
          <w:rFonts w:ascii="Times New Roman" w:hAnsi="Times New Roman" w:cs="Times New Roman"/>
          <w:i/>
          <w:lang w:val="en-GB"/>
        </w:rPr>
      </w:pPr>
      <w:r w:rsidRPr="00C8284C">
        <w:rPr>
          <w:rStyle w:val="Appelnotedebasdep"/>
          <w:rFonts w:ascii="Times New Roman" w:hAnsi="Times New Roman" w:cs="Times New Roman"/>
        </w:rPr>
        <w:footnoteRef/>
      </w:r>
      <w:r w:rsidRPr="00C8284C">
        <w:rPr>
          <w:rFonts w:ascii="Times New Roman" w:hAnsi="Times New Roman" w:cs="Times New Roman"/>
        </w:rPr>
        <w:t xml:space="preserve"> </w:t>
      </w:r>
      <w:r w:rsidRPr="00C8284C">
        <w:rPr>
          <w:rFonts w:ascii="Times New Roman" w:hAnsi="Times New Roman" w:cs="Times New Roman"/>
          <w:i/>
        </w:rPr>
        <w:t>Ibid.</w:t>
      </w:r>
    </w:p>
  </w:footnote>
  <w:footnote w:id="33">
    <w:p w:rsidR="00C8284C" w:rsidRPr="00C8284C" w:rsidRDefault="00C8284C" w:rsidP="00C8284C">
      <w:pPr>
        <w:pStyle w:val="ECHRPara"/>
        <w:rPr>
          <w:rFonts w:ascii="Times New Roman" w:hAnsi="Times New Roman" w:cs="Times New Roman"/>
          <w:sz w:val="20"/>
          <w:szCs w:val="20"/>
          <w:lang w:val="en-GB"/>
        </w:rPr>
      </w:pPr>
      <w:r w:rsidRPr="00C8284C">
        <w:rPr>
          <w:rStyle w:val="Appelnotedebasdep"/>
          <w:rFonts w:ascii="Times New Roman" w:hAnsi="Times New Roman" w:cs="Times New Roman"/>
          <w:sz w:val="20"/>
          <w:szCs w:val="20"/>
        </w:rPr>
        <w:footnoteRef/>
      </w:r>
      <w:r w:rsidRPr="00C8284C">
        <w:rPr>
          <w:rFonts w:ascii="Times New Roman" w:hAnsi="Times New Roman" w:cs="Times New Roman"/>
          <w:sz w:val="20"/>
          <w:szCs w:val="20"/>
        </w:rPr>
        <w:t xml:space="preserve"> </w:t>
      </w:r>
      <w:r w:rsidRPr="00C8284C">
        <w:rPr>
          <w:rFonts w:ascii="Times New Roman" w:hAnsi="Times New Roman" w:cs="Times New Roman"/>
          <w:i/>
          <w:sz w:val="20"/>
          <w:szCs w:val="20"/>
          <w:lang w:val="en-GB"/>
        </w:rPr>
        <w:t>Namat Aliyev v. Azerbaijan</w:t>
      </w:r>
      <w:r w:rsidRPr="00C8284C">
        <w:rPr>
          <w:rFonts w:ascii="Times New Roman" w:hAnsi="Times New Roman" w:cs="Times New Roman"/>
          <w:sz w:val="20"/>
          <w:szCs w:val="20"/>
          <w:lang w:val="en-GB"/>
        </w:rPr>
        <w:t>, no. 18705/06</w:t>
      </w:r>
      <w:r w:rsidRPr="00C8284C">
        <w:rPr>
          <w:rFonts w:ascii="Times New Roman" w:hAnsi="Times New Roman" w:cs="Times New Roman"/>
          <w:snapToGrid w:val="0"/>
          <w:sz w:val="20"/>
          <w:szCs w:val="20"/>
          <w:lang w:val="en-GB"/>
        </w:rPr>
        <w:t>, 8 April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7DE"/>
    <w:multiLevelType w:val="multilevel"/>
    <w:tmpl w:val="8012C870"/>
    <w:lvl w:ilvl="0">
      <w:start w:val="1"/>
      <w:numFmt w:val="decimal"/>
      <w:pStyle w:val="ECHRList"/>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989571C"/>
    <w:multiLevelType w:val="multilevel"/>
    <w:tmpl w:val="F842BC8C"/>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C2"/>
    <w:rsid w:val="000041F8"/>
    <w:rsid w:val="000042A8"/>
    <w:rsid w:val="00004308"/>
    <w:rsid w:val="00005BF0"/>
    <w:rsid w:val="00007154"/>
    <w:rsid w:val="000103AE"/>
    <w:rsid w:val="00011D69"/>
    <w:rsid w:val="00012AD3"/>
    <w:rsid w:val="00015C2D"/>
    <w:rsid w:val="00015F00"/>
    <w:rsid w:val="00022C1D"/>
    <w:rsid w:val="000273AF"/>
    <w:rsid w:val="00034987"/>
    <w:rsid w:val="00042390"/>
    <w:rsid w:val="00043BED"/>
    <w:rsid w:val="000602DF"/>
    <w:rsid w:val="00061B05"/>
    <w:rsid w:val="000632D5"/>
    <w:rsid w:val="000644EE"/>
    <w:rsid w:val="00064AD6"/>
    <w:rsid w:val="0006764A"/>
    <w:rsid w:val="000731B9"/>
    <w:rsid w:val="00076490"/>
    <w:rsid w:val="000925AD"/>
    <w:rsid w:val="000A24EB"/>
    <w:rsid w:val="000A2FD0"/>
    <w:rsid w:val="000A6DB9"/>
    <w:rsid w:val="000B6923"/>
    <w:rsid w:val="000C5F3C"/>
    <w:rsid w:val="000C6DCC"/>
    <w:rsid w:val="000D47AA"/>
    <w:rsid w:val="000D721F"/>
    <w:rsid w:val="000E069B"/>
    <w:rsid w:val="000E0E82"/>
    <w:rsid w:val="000E1DC5"/>
    <w:rsid w:val="000E223F"/>
    <w:rsid w:val="000E7D45"/>
    <w:rsid w:val="000F1C80"/>
    <w:rsid w:val="000F69E0"/>
    <w:rsid w:val="000F7851"/>
    <w:rsid w:val="00104E23"/>
    <w:rsid w:val="001074BC"/>
    <w:rsid w:val="00111B0C"/>
    <w:rsid w:val="00120D6C"/>
    <w:rsid w:val="001257EC"/>
    <w:rsid w:val="00133D33"/>
    <w:rsid w:val="00134D64"/>
    <w:rsid w:val="00135A30"/>
    <w:rsid w:val="0013612C"/>
    <w:rsid w:val="00137FF6"/>
    <w:rsid w:val="00141650"/>
    <w:rsid w:val="00146216"/>
    <w:rsid w:val="00162A12"/>
    <w:rsid w:val="00165513"/>
    <w:rsid w:val="00165966"/>
    <w:rsid w:val="00166530"/>
    <w:rsid w:val="001779DC"/>
    <w:rsid w:val="0018068E"/>
    <w:rsid w:val="00182906"/>
    <w:rsid w:val="001832BD"/>
    <w:rsid w:val="001943B5"/>
    <w:rsid w:val="00195134"/>
    <w:rsid w:val="001A145B"/>
    <w:rsid w:val="001A674C"/>
    <w:rsid w:val="001B3B24"/>
    <w:rsid w:val="001C0F98"/>
    <w:rsid w:val="001C2A42"/>
    <w:rsid w:val="001C5B98"/>
    <w:rsid w:val="001D63ED"/>
    <w:rsid w:val="001D7348"/>
    <w:rsid w:val="001E035B"/>
    <w:rsid w:val="001E0961"/>
    <w:rsid w:val="001E3EAE"/>
    <w:rsid w:val="001E6F32"/>
    <w:rsid w:val="001F2145"/>
    <w:rsid w:val="001F6262"/>
    <w:rsid w:val="001F67B0"/>
    <w:rsid w:val="001F7B3D"/>
    <w:rsid w:val="00205F9F"/>
    <w:rsid w:val="00210338"/>
    <w:rsid w:val="002115FC"/>
    <w:rsid w:val="002138A0"/>
    <w:rsid w:val="0021423C"/>
    <w:rsid w:val="00230D00"/>
    <w:rsid w:val="00231DF7"/>
    <w:rsid w:val="00231FD1"/>
    <w:rsid w:val="002339E0"/>
    <w:rsid w:val="00233CF8"/>
    <w:rsid w:val="0023575D"/>
    <w:rsid w:val="00237148"/>
    <w:rsid w:val="0024222D"/>
    <w:rsid w:val="00244B0E"/>
    <w:rsid w:val="00244F6C"/>
    <w:rsid w:val="002532C5"/>
    <w:rsid w:val="00260C03"/>
    <w:rsid w:val="0026540E"/>
    <w:rsid w:val="0026599B"/>
    <w:rsid w:val="00275123"/>
    <w:rsid w:val="00282240"/>
    <w:rsid w:val="00282F73"/>
    <w:rsid w:val="002948AD"/>
    <w:rsid w:val="002A01CC"/>
    <w:rsid w:val="002A106A"/>
    <w:rsid w:val="002A61B1"/>
    <w:rsid w:val="002A663C"/>
    <w:rsid w:val="002A79A6"/>
    <w:rsid w:val="002B444B"/>
    <w:rsid w:val="002B5887"/>
    <w:rsid w:val="002C0692"/>
    <w:rsid w:val="002C0E27"/>
    <w:rsid w:val="002C3040"/>
    <w:rsid w:val="002D022D"/>
    <w:rsid w:val="002D24BB"/>
    <w:rsid w:val="002F2AF7"/>
    <w:rsid w:val="002F7E1C"/>
    <w:rsid w:val="00301A75"/>
    <w:rsid w:val="00302F70"/>
    <w:rsid w:val="0030336F"/>
    <w:rsid w:val="0030375E"/>
    <w:rsid w:val="003045FE"/>
    <w:rsid w:val="00312A30"/>
    <w:rsid w:val="00320F72"/>
    <w:rsid w:val="0032463E"/>
    <w:rsid w:val="00326224"/>
    <w:rsid w:val="00337EE4"/>
    <w:rsid w:val="00340FFD"/>
    <w:rsid w:val="003506B1"/>
    <w:rsid w:val="00356AC7"/>
    <w:rsid w:val="003609FA"/>
    <w:rsid w:val="00367714"/>
    <w:rsid w:val="003710C8"/>
    <w:rsid w:val="003750BE"/>
    <w:rsid w:val="00387B9D"/>
    <w:rsid w:val="003933CE"/>
    <w:rsid w:val="0039364F"/>
    <w:rsid w:val="00396686"/>
    <w:rsid w:val="0039778E"/>
    <w:rsid w:val="003B1758"/>
    <w:rsid w:val="003B4941"/>
    <w:rsid w:val="003C5714"/>
    <w:rsid w:val="003C6B9F"/>
    <w:rsid w:val="003C6E2A"/>
    <w:rsid w:val="003D0299"/>
    <w:rsid w:val="003E6D80"/>
    <w:rsid w:val="003F05FA"/>
    <w:rsid w:val="003F244A"/>
    <w:rsid w:val="003F30B8"/>
    <w:rsid w:val="003F4C45"/>
    <w:rsid w:val="003F5F7B"/>
    <w:rsid w:val="003F7D64"/>
    <w:rsid w:val="004063F7"/>
    <w:rsid w:val="00414300"/>
    <w:rsid w:val="00414E60"/>
    <w:rsid w:val="00425C18"/>
    <w:rsid w:val="00425C67"/>
    <w:rsid w:val="00427E7A"/>
    <w:rsid w:val="00436C49"/>
    <w:rsid w:val="00445366"/>
    <w:rsid w:val="00447F5B"/>
    <w:rsid w:val="00457887"/>
    <w:rsid w:val="00461DB0"/>
    <w:rsid w:val="00463926"/>
    <w:rsid w:val="00464C9A"/>
    <w:rsid w:val="00474F3D"/>
    <w:rsid w:val="00477E3A"/>
    <w:rsid w:val="00483E5F"/>
    <w:rsid w:val="00485FF9"/>
    <w:rsid w:val="004907F0"/>
    <w:rsid w:val="0049140B"/>
    <w:rsid w:val="004923A5"/>
    <w:rsid w:val="00492EC7"/>
    <w:rsid w:val="00493559"/>
    <w:rsid w:val="00496BFB"/>
    <w:rsid w:val="004A15C7"/>
    <w:rsid w:val="004B013B"/>
    <w:rsid w:val="004B112B"/>
    <w:rsid w:val="004C01E4"/>
    <w:rsid w:val="004C086C"/>
    <w:rsid w:val="004C1F56"/>
    <w:rsid w:val="004C27BC"/>
    <w:rsid w:val="004C56EE"/>
    <w:rsid w:val="004D15F3"/>
    <w:rsid w:val="004D5311"/>
    <w:rsid w:val="004D5DCC"/>
    <w:rsid w:val="004F10AF"/>
    <w:rsid w:val="004F11A4"/>
    <w:rsid w:val="004F2389"/>
    <w:rsid w:val="004F304D"/>
    <w:rsid w:val="004F61BE"/>
    <w:rsid w:val="004F66B1"/>
    <w:rsid w:val="00511C07"/>
    <w:rsid w:val="005173A6"/>
    <w:rsid w:val="00520BAA"/>
    <w:rsid w:val="00525208"/>
    <w:rsid w:val="005257A5"/>
    <w:rsid w:val="005264C0"/>
    <w:rsid w:val="00526A8A"/>
    <w:rsid w:val="00531DF2"/>
    <w:rsid w:val="00536BDC"/>
    <w:rsid w:val="005442EE"/>
    <w:rsid w:val="00544ED2"/>
    <w:rsid w:val="00547353"/>
    <w:rsid w:val="005474E7"/>
    <w:rsid w:val="005512A3"/>
    <w:rsid w:val="005578CE"/>
    <w:rsid w:val="00562781"/>
    <w:rsid w:val="0057271C"/>
    <w:rsid w:val="00572845"/>
    <w:rsid w:val="00575153"/>
    <w:rsid w:val="00592772"/>
    <w:rsid w:val="00592CFF"/>
    <w:rsid w:val="0059574A"/>
    <w:rsid w:val="005A1B9B"/>
    <w:rsid w:val="005A49B1"/>
    <w:rsid w:val="005A6751"/>
    <w:rsid w:val="005B092E"/>
    <w:rsid w:val="005B152C"/>
    <w:rsid w:val="005B1EE0"/>
    <w:rsid w:val="005B2B24"/>
    <w:rsid w:val="005B4425"/>
    <w:rsid w:val="005B4B94"/>
    <w:rsid w:val="005C3EE8"/>
    <w:rsid w:val="005D34F9"/>
    <w:rsid w:val="005D4190"/>
    <w:rsid w:val="005D67A3"/>
    <w:rsid w:val="005E2988"/>
    <w:rsid w:val="005E3085"/>
    <w:rsid w:val="005F51E1"/>
    <w:rsid w:val="00611C80"/>
    <w:rsid w:val="00620692"/>
    <w:rsid w:val="006242CA"/>
    <w:rsid w:val="00627507"/>
    <w:rsid w:val="00633717"/>
    <w:rsid w:val="006344E1"/>
    <w:rsid w:val="006545C4"/>
    <w:rsid w:val="00661971"/>
    <w:rsid w:val="00661CE8"/>
    <w:rsid w:val="006623D9"/>
    <w:rsid w:val="00662439"/>
    <w:rsid w:val="0066550C"/>
    <w:rsid w:val="006716F2"/>
    <w:rsid w:val="00682BF2"/>
    <w:rsid w:val="006853C2"/>
    <w:rsid w:val="006859CE"/>
    <w:rsid w:val="00691270"/>
    <w:rsid w:val="00694BA8"/>
    <w:rsid w:val="006A037C"/>
    <w:rsid w:val="006A36F4"/>
    <w:rsid w:val="006A406F"/>
    <w:rsid w:val="006A5D3A"/>
    <w:rsid w:val="006B7640"/>
    <w:rsid w:val="006C23D4"/>
    <w:rsid w:val="006C7BB0"/>
    <w:rsid w:val="006D3237"/>
    <w:rsid w:val="006E2E37"/>
    <w:rsid w:val="006E3CF1"/>
    <w:rsid w:val="006E7E80"/>
    <w:rsid w:val="006F48CA"/>
    <w:rsid w:val="006F64DD"/>
    <w:rsid w:val="00715127"/>
    <w:rsid w:val="00715166"/>
    <w:rsid w:val="00715E8E"/>
    <w:rsid w:val="00723580"/>
    <w:rsid w:val="00723755"/>
    <w:rsid w:val="0073136C"/>
    <w:rsid w:val="00731F0F"/>
    <w:rsid w:val="00733250"/>
    <w:rsid w:val="00740158"/>
    <w:rsid w:val="00741404"/>
    <w:rsid w:val="007449E5"/>
    <w:rsid w:val="00747FF0"/>
    <w:rsid w:val="00764D4E"/>
    <w:rsid w:val="00765A1F"/>
    <w:rsid w:val="00775B6D"/>
    <w:rsid w:val="00776D68"/>
    <w:rsid w:val="007850EE"/>
    <w:rsid w:val="00785B95"/>
    <w:rsid w:val="00790E96"/>
    <w:rsid w:val="00793366"/>
    <w:rsid w:val="007A716F"/>
    <w:rsid w:val="007B270A"/>
    <w:rsid w:val="007B75E1"/>
    <w:rsid w:val="007C0695"/>
    <w:rsid w:val="007C0F5C"/>
    <w:rsid w:val="007C419A"/>
    <w:rsid w:val="007C4CC8"/>
    <w:rsid w:val="007C5426"/>
    <w:rsid w:val="007C5798"/>
    <w:rsid w:val="007D4832"/>
    <w:rsid w:val="007E21B2"/>
    <w:rsid w:val="007E2C4E"/>
    <w:rsid w:val="007F1905"/>
    <w:rsid w:val="00801300"/>
    <w:rsid w:val="00802C64"/>
    <w:rsid w:val="00805E52"/>
    <w:rsid w:val="008061D0"/>
    <w:rsid w:val="00810B38"/>
    <w:rsid w:val="008204C7"/>
    <w:rsid w:val="00820992"/>
    <w:rsid w:val="00823602"/>
    <w:rsid w:val="008255F5"/>
    <w:rsid w:val="00825F01"/>
    <w:rsid w:val="0083014E"/>
    <w:rsid w:val="0083214A"/>
    <w:rsid w:val="00834220"/>
    <w:rsid w:val="00834A27"/>
    <w:rsid w:val="00845723"/>
    <w:rsid w:val="00851EF9"/>
    <w:rsid w:val="008554AB"/>
    <w:rsid w:val="008577FD"/>
    <w:rsid w:val="00860B03"/>
    <w:rsid w:val="0086497A"/>
    <w:rsid w:val="008713A1"/>
    <w:rsid w:val="008754AB"/>
    <w:rsid w:val="00875B86"/>
    <w:rsid w:val="0088060C"/>
    <w:rsid w:val="00890A15"/>
    <w:rsid w:val="00891746"/>
    <w:rsid w:val="00893576"/>
    <w:rsid w:val="00893E73"/>
    <w:rsid w:val="008B02DC"/>
    <w:rsid w:val="008B57CE"/>
    <w:rsid w:val="008C26DE"/>
    <w:rsid w:val="008D2225"/>
    <w:rsid w:val="008D4752"/>
    <w:rsid w:val="008D67B5"/>
    <w:rsid w:val="008E271C"/>
    <w:rsid w:val="008E418E"/>
    <w:rsid w:val="008E5BC6"/>
    <w:rsid w:val="008E6A25"/>
    <w:rsid w:val="008F5193"/>
    <w:rsid w:val="009013A7"/>
    <w:rsid w:val="009017FB"/>
    <w:rsid w:val="009017FC"/>
    <w:rsid w:val="0090506B"/>
    <w:rsid w:val="009050C9"/>
    <w:rsid w:val="009066FC"/>
    <w:rsid w:val="009140A3"/>
    <w:rsid w:val="009144A2"/>
    <w:rsid w:val="0091510C"/>
    <w:rsid w:val="00920701"/>
    <w:rsid w:val="009240A3"/>
    <w:rsid w:val="009259AC"/>
    <w:rsid w:val="00926F38"/>
    <w:rsid w:val="00934301"/>
    <w:rsid w:val="00936CD1"/>
    <w:rsid w:val="00941747"/>
    <w:rsid w:val="00941EFB"/>
    <w:rsid w:val="00947AFB"/>
    <w:rsid w:val="00951D7D"/>
    <w:rsid w:val="009630C7"/>
    <w:rsid w:val="00972B55"/>
    <w:rsid w:val="00972D51"/>
    <w:rsid w:val="009743B7"/>
    <w:rsid w:val="0098228B"/>
    <w:rsid w:val="009828DA"/>
    <w:rsid w:val="00985BAB"/>
    <w:rsid w:val="009A5BA3"/>
    <w:rsid w:val="009B1B5F"/>
    <w:rsid w:val="009B6673"/>
    <w:rsid w:val="009C191B"/>
    <w:rsid w:val="009C2BD6"/>
    <w:rsid w:val="009C51A9"/>
    <w:rsid w:val="009E0C76"/>
    <w:rsid w:val="009E1F32"/>
    <w:rsid w:val="009E776C"/>
    <w:rsid w:val="00A1605B"/>
    <w:rsid w:val="00A1726E"/>
    <w:rsid w:val="00A204CF"/>
    <w:rsid w:val="00A23D49"/>
    <w:rsid w:val="00A2587A"/>
    <w:rsid w:val="00A27004"/>
    <w:rsid w:val="00A30C29"/>
    <w:rsid w:val="00A34DD6"/>
    <w:rsid w:val="00A36819"/>
    <w:rsid w:val="00A36989"/>
    <w:rsid w:val="00A43529"/>
    <w:rsid w:val="00A43628"/>
    <w:rsid w:val="00A54192"/>
    <w:rsid w:val="00A6035E"/>
    <w:rsid w:val="00A6144C"/>
    <w:rsid w:val="00A66617"/>
    <w:rsid w:val="00A671F8"/>
    <w:rsid w:val="00A673A4"/>
    <w:rsid w:val="00A71DE9"/>
    <w:rsid w:val="00A724AE"/>
    <w:rsid w:val="00A73329"/>
    <w:rsid w:val="00A75C70"/>
    <w:rsid w:val="00A82359"/>
    <w:rsid w:val="00A865D2"/>
    <w:rsid w:val="00A94C20"/>
    <w:rsid w:val="00A95F98"/>
    <w:rsid w:val="00AA15B3"/>
    <w:rsid w:val="00AA227F"/>
    <w:rsid w:val="00AA3BC7"/>
    <w:rsid w:val="00AA754A"/>
    <w:rsid w:val="00AB099E"/>
    <w:rsid w:val="00AB21D0"/>
    <w:rsid w:val="00AB4328"/>
    <w:rsid w:val="00AE0A1C"/>
    <w:rsid w:val="00AE0A2E"/>
    <w:rsid w:val="00AE354C"/>
    <w:rsid w:val="00AF4B07"/>
    <w:rsid w:val="00AF6186"/>
    <w:rsid w:val="00AF7A3A"/>
    <w:rsid w:val="00B14157"/>
    <w:rsid w:val="00B160DB"/>
    <w:rsid w:val="00B20836"/>
    <w:rsid w:val="00B235BB"/>
    <w:rsid w:val="00B27A44"/>
    <w:rsid w:val="00B30BBF"/>
    <w:rsid w:val="00B324EF"/>
    <w:rsid w:val="00B33C03"/>
    <w:rsid w:val="00B44E56"/>
    <w:rsid w:val="00B46543"/>
    <w:rsid w:val="00B47D33"/>
    <w:rsid w:val="00B52BE0"/>
    <w:rsid w:val="00B54133"/>
    <w:rsid w:val="00B6394C"/>
    <w:rsid w:val="00B701ED"/>
    <w:rsid w:val="00B7220F"/>
    <w:rsid w:val="00B7782B"/>
    <w:rsid w:val="00B8086C"/>
    <w:rsid w:val="00B861B4"/>
    <w:rsid w:val="00B86DFE"/>
    <w:rsid w:val="00B90990"/>
    <w:rsid w:val="00B922FF"/>
    <w:rsid w:val="00B9281E"/>
    <w:rsid w:val="00B93925"/>
    <w:rsid w:val="00B95187"/>
    <w:rsid w:val="00BA2D55"/>
    <w:rsid w:val="00BA71B1"/>
    <w:rsid w:val="00BB0637"/>
    <w:rsid w:val="00BB345F"/>
    <w:rsid w:val="00BB68EA"/>
    <w:rsid w:val="00BC1C27"/>
    <w:rsid w:val="00BC6BBF"/>
    <w:rsid w:val="00BC785B"/>
    <w:rsid w:val="00BD1441"/>
    <w:rsid w:val="00BD1572"/>
    <w:rsid w:val="00BE14E3"/>
    <w:rsid w:val="00BE3774"/>
    <w:rsid w:val="00BE41E5"/>
    <w:rsid w:val="00BF4109"/>
    <w:rsid w:val="00BF4CC3"/>
    <w:rsid w:val="00C054C7"/>
    <w:rsid w:val="00C057B5"/>
    <w:rsid w:val="00C22687"/>
    <w:rsid w:val="00C32E4D"/>
    <w:rsid w:val="00C333A0"/>
    <w:rsid w:val="00C36A81"/>
    <w:rsid w:val="00C41974"/>
    <w:rsid w:val="00C41FBA"/>
    <w:rsid w:val="00C42FC3"/>
    <w:rsid w:val="00C53F4A"/>
    <w:rsid w:val="00C54125"/>
    <w:rsid w:val="00C55B54"/>
    <w:rsid w:val="00C6098E"/>
    <w:rsid w:val="00C6152C"/>
    <w:rsid w:val="00C74810"/>
    <w:rsid w:val="00C8284C"/>
    <w:rsid w:val="00C87AD5"/>
    <w:rsid w:val="00C90D68"/>
    <w:rsid w:val="00C939FE"/>
    <w:rsid w:val="00CA4BDA"/>
    <w:rsid w:val="00CB1F66"/>
    <w:rsid w:val="00CB2951"/>
    <w:rsid w:val="00CB4A2F"/>
    <w:rsid w:val="00CD282B"/>
    <w:rsid w:val="00CD4C35"/>
    <w:rsid w:val="00CD7369"/>
    <w:rsid w:val="00CE0B0E"/>
    <w:rsid w:val="00CE3831"/>
    <w:rsid w:val="00CF060F"/>
    <w:rsid w:val="00D00ABB"/>
    <w:rsid w:val="00D02EEC"/>
    <w:rsid w:val="00D03551"/>
    <w:rsid w:val="00D06A63"/>
    <w:rsid w:val="00D07E0E"/>
    <w:rsid w:val="00D11478"/>
    <w:rsid w:val="00D14733"/>
    <w:rsid w:val="00D15ED0"/>
    <w:rsid w:val="00D21B3E"/>
    <w:rsid w:val="00D21FED"/>
    <w:rsid w:val="00D24251"/>
    <w:rsid w:val="00D343E2"/>
    <w:rsid w:val="00D361A2"/>
    <w:rsid w:val="00D44C2E"/>
    <w:rsid w:val="00D45414"/>
    <w:rsid w:val="00D566BD"/>
    <w:rsid w:val="00D57A4D"/>
    <w:rsid w:val="00D60AA7"/>
    <w:rsid w:val="00D6435F"/>
    <w:rsid w:val="00D75E28"/>
    <w:rsid w:val="00D772C2"/>
    <w:rsid w:val="00D77F35"/>
    <w:rsid w:val="00D8008E"/>
    <w:rsid w:val="00D82C45"/>
    <w:rsid w:val="00D908A8"/>
    <w:rsid w:val="00D977B6"/>
    <w:rsid w:val="00DA4A31"/>
    <w:rsid w:val="00DA7B04"/>
    <w:rsid w:val="00DB36C2"/>
    <w:rsid w:val="00DC169B"/>
    <w:rsid w:val="00DC2AB9"/>
    <w:rsid w:val="00DC63F0"/>
    <w:rsid w:val="00DD6EE5"/>
    <w:rsid w:val="00DE386C"/>
    <w:rsid w:val="00DE4D35"/>
    <w:rsid w:val="00DF098B"/>
    <w:rsid w:val="00DF11C4"/>
    <w:rsid w:val="00DF210C"/>
    <w:rsid w:val="00DF4B6A"/>
    <w:rsid w:val="00E02C09"/>
    <w:rsid w:val="00E04D59"/>
    <w:rsid w:val="00E057B5"/>
    <w:rsid w:val="00E07BC4"/>
    <w:rsid w:val="00E07DA1"/>
    <w:rsid w:val="00E11B76"/>
    <w:rsid w:val="00E123CB"/>
    <w:rsid w:val="00E20E13"/>
    <w:rsid w:val="00E21DBC"/>
    <w:rsid w:val="00E226B6"/>
    <w:rsid w:val="00E275D7"/>
    <w:rsid w:val="00E27DBE"/>
    <w:rsid w:val="00E32AB1"/>
    <w:rsid w:val="00E36C71"/>
    <w:rsid w:val="00E40404"/>
    <w:rsid w:val="00E459C6"/>
    <w:rsid w:val="00E47589"/>
    <w:rsid w:val="00E5354D"/>
    <w:rsid w:val="00E64915"/>
    <w:rsid w:val="00E661D4"/>
    <w:rsid w:val="00E70091"/>
    <w:rsid w:val="00E720F5"/>
    <w:rsid w:val="00E76D47"/>
    <w:rsid w:val="00E81873"/>
    <w:rsid w:val="00E849F7"/>
    <w:rsid w:val="00E84AA5"/>
    <w:rsid w:val="00E90302"/>
    <w:rsid w:val="00E97396"/>
    <w:rsid w:val="00EA185E"/>
    <w:rsid w:val="00EA592A"/>
    <w:rsid w:val="00EB14E4"/>
    <w:rsid w:val="00EB32A5"/>
    <w:rsid w:val="00EB34ED"/>
    <w:rsid w:val="00EB7BE0"/>
    <w:rsid w:val="00EC315E"/>
    <w:rsid w:val="00EC72BC"/>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66A2"/>
    <w:rsid w:val="00F32269"/>
    <w:rsid w:val="00F56A6F"/>
    <w:rsid w:val="00F5709C"/>
    <w:rsid w:val="00F64EF1"/>
    <w:rsid w:val="00F65844"/>
    <w:rsid w:val="00F74BED"/>
    <w:rsid w:val="00F8765F"/>
    <w:rsid w:val="00F90767"/>
    <w:rsid w:val="00FA07C0"/>
    <w:rsid w:val="00FA685B"/>
    <w:rsid w:val="00FB0C01"/>
    <w:rsid w:val="00FC18F2"/>
    <w:rsid w:val="00FC39E5"/>
    <w:rsid w:val="00FC3A78"/>
    <w:rsid w:val="00FD1005"/>
    <w:rsid w:val="00FD6077"/>
    <w:rsid w:val="00FD6C75"/>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nhideWhenUsed="1"/>
    <w:lsdException w:name="header" w:uiPriority="82" w:unhideWhenUsed="1"/>
    <w:lsdException w:name="footer" w:uiPriority="83" w:unhideWhenUsed="1"/>
    <w:lsdException w:name="caption" w:qFormat="1"/>
    <w:lsdException w:name="footnote reference"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E84AA5"/>
  </w:style>
  <w:style w:type="paragraph" w:styleId="Titre1">
    <w:name w:val="heading 1"/>
    <w:basedOn w:val="Normal"/>
    <w:next w:val="Normal"/>
    <w:link w:val="Titre1C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Titre2">
    <w:name w:val="heading 2"/>
    <w:basedOn w:val="Normal"/>
    <w:next w:val="Normal"/>
    <w:link w:val="Titre2C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Titre3">
    <w:name w:val="heading 3"/>
    <w:basedOn w:val="Normal"/>
    <w:next w:val="Normal"/>
    <w:link w:val="Titre3C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Titre4">
    <w:name w:val="heading 4"/>
    <w:basedOn w:val="Normal"/>
    <w:next w:val="Normal"/>
    <w:link w:val="Titre4C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Titre5">
    <w:name w:val="heading 5"/>
    <w:basedOn w:val="Normal"/>
    <w:next w:val="Normal"/>
    <w:link w:val="Titre5C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Titre6">
    <w:name w:val="heading 6"/>
    <w:basedOn w:val="Normal"/>
    <w:next w:val="Normal"/>
    <w:link w:val="Titre6C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Titre7">
    <w:name w:val="heading 7"/>
    <w:basedOn w:val="Normal"/>
    <w:next w:val="Normal"/>
    <w:link w:val="Titre7Car"/>
    <w:uiPriority w:val="99"/>
    <w:semiHidden/>
    <w:qFormat/>
    <w:rsid w:val="00941747"/>
    <w:pPr>
      <w:outlineLvl w:val="6"/>
    </w:pPr>
    <w:rPr>
      <w:rFonts w:asciiTheme="majorHAnsi" w:eastAsiaTheme="majorEastAsia" w:hAnsiTheme="majorHAnsi" w:cstheme="majorBidi"/>
      <w:i/>
      <w:iCs/>
      <w:lang w:bidi="en-US"/>
    </w:rPr>
  </w:style>
  <w:style w:type="paragraph" w:styleId="Titre8">
    <w:name w:val="heading 8"/>
    <w:basedOn w:val="Normal"/>
    <w:next w:val="Normal"/>
    <w:link w:val="Titre8Car"/>
    <w:uiPriority w:val="99"/>
    <w:semiHidden/>
    <w:qFormat/>
    <w:rsid w:val="00941747"/>
    <w:pPr>
      <w:outlineLvl w:val="7"/>
    </w:pPr>
    <w:rPr>
      <w:rFonts w:asciiTheme="majorHAnsi" w:eastAsiaTheme="majorEastAsia" w:hAnsiTheme="majorHAnsi" w:cstheme="majorBidi"/>
      <w:sz w:val="20"/>
      <w:szCs w:val="20"/>
      <w:lang w:bidi="en-US"/>
    </w:rPr>
  </w:style>
  <w:style w:type="paragraph" w:styleId="Titre9">
    <w:name w:val="heading 9"/>
    <w:basedOn w:val="Normal"/>
    <w:next w:val="Normal"/>
    <w:link w:val="Titre9C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41747"/>
    <w:rPr>
      <w:rFonts w:ascii="Tahoma" w:hAnsi="Tahoma" w:cs="Tahoma"/>
      <w:sz w:val="16"/>
      <w:szCs w:val="16"/>
    </w:rPr>
  </w:style>
  <w:style w:type="character" w:customStyle="1" w:styleId="TextedebullesCar">
    <w:name w:val="Texte de bulles Car"/>
    <w:basedOn w:val="Policepardfaut"/>
    <w:link w:val="Textedebulles"/>
    <w:uiPriority w:val="99"/>
    <w:semiHidden/>
    <w:rsid w:val="00A671F8"/>
    <w:rPr>
      <w:rFonts w:ascii="Tahoma" w:eastAsiaTheme="minorEastAsia" w:hAnsi="Tahoma" w:cs="Tahoma"/>
      <w:sz w:val="16"/>
      <w:szCs w:val="16"/>
    </w:rPr>
  </w:style>
  <w:style w:type="character" w:styleId="Titredulivre">
    <w:name w:val="Book Title"/>
    <w:uiPriority w:val="99"/>
    <w:semiHidden/>
    <w:qFormat/>
    <w:rsid w:val="00941747"/>
    <w:rPr>
      <w:i/>
      <w:iCs/>
      <w:smallCaps/>
      <w:spacing w:val="5"/>
    </w:rPr>
  </w:style>
  <w:style w:type="numbering" w:customStyle="1" w:styleId="ECHRA1StyleBulletedSquare">
    <w:name w:val="ECHR_A1_Style_Bulleted_Square"/>
    <w:basedOn w:val="Aucuneliste"/>
    <w:rsid w:val="008754AB"/>
    <w:pPr>
      <w:numPr>
        <w:numId w:val="2"/>
      </w:numPr>
    </w:pPr>
  </w:style>
  <w:style w:type="numbering" w:customStyle="1" w:styleId="ECHRA1StyleNumberedList">
    <w:name w:val="ECHR_A1_Style_Numbered_List"/>
    <w:basedOn w:val="Aucuneliste"/>
    <w:rsid w:val="008754AB"/>
    <w:pPr>
      <w:numPr>
        <w:numId w:val="5"/>
      </w:numPr>
    </w:pPr>
  </w:style>
  <w:style w:type="character" w:styleId="lev">
    <w:name w:val="Strong"/>
    <w:uiPriority w:val="99"/>
    <w:semiHidden/>
    <w:qFormat/>
    <w:rsid w:val="00941747"/>
    <w:rPr>
      <w:b/>
      <w:bCs/>
    </w:rPr>
  </w:style>
  <w:style w:type="paragraph" w:styleId="Sansinterligne">
    <w:name w:val="No Spacing"/>
    <w:basedOn w:val="Normal"/>
    <w:link w:val="SansinterligneCar"/>
    <w:semiHidden/>
    <w:qFormat/>
    <w:rsid w:val="00941747"/>
  </w:style>
  <w:style w:type="character" w:customStyle="1" w:styleId="SansinterligneCar">
    <w:name w:val="Sans interligne Car"/>
    <w:basedOn w:val="Policepardfaut"/>
    <w:link w:val="Sansinterligne"/>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En-tte"/>
    <w:uiPriority w:val="39"/>
    <w:rsid w:val="003D0299"/>
    <w:rPr>
      <w:sz w:val="8"/>
    </w:rPr>
  </w:style>
  <w:style w:type="paragraph" w:customStyle="1" w:styleId="ECHRFooter">
    <w:name w:val="ECHR_Footer"/>
    <w:aliases w:val="Footer_ECHR"/>
    <w:basedOn w:val="Pieddepage"/>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re">
    <w:name w:val="Title"/>
    <w:basedOn w:val="Normal"/>
    <w:next w:val="Normal"/>
    <w:link w:val="TitreC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Policepardfau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0A2FD0"/>
    <w:pPr>
      <w:pBdr>
        <w:top w:val="single" w:sz="8" w:space="1" w:color="7F7F7F" w:themeColor="text1" w:themeTint="80"/>
      </w:pBdr>
      <w:tabs>
        <w:tab w:val="center" w:pos="4536"/>
        <w:tab w:val="right" w:pos="9696"/>
      </w:tabs>
      <w:ind w:left="-680" w:right="-680"/>
    </w:pPr>
    <w:rPr>
      <w:color w:val="474747" w:themeColor="accent3" w:themeShade="BF"/>
    </w:rPr>
  </w:style>
  <w:style w:type="paragraph" w:styleId="En-tte">
    <w:name w:val="header"/>
    <w:basedOn w:val="Normal"/>
    <w:link w:val="En-tteCar"/>
    <w:uiPriority w:val="48"/>
    <w:semiHidden/>
    <w:rsid w:val="00941747"/>
    <w:pPr>
      <w:tabs>
        <w:tab w:val="center" w:pos="4536"/>
        <w:tab w:val="right" w:pos="9696"/>
      </w:tabs>
      <w:ind w:left="-680" w:right="-680"/>
    </w:pPr>
  </w:style>
  <w:style w:type="character" w:customStyle="1" w:styleId="En-tteCar">
    <w:name w:val="En-tête Car"/>
    <w:basedOn w:val="Policepardfaut"/>
    <w:link w:val="En-tte"/>
    <w:uiPriority w:val="48"/>
    <w:semiHidden/>
    <w:rsid w:val="008D4752"/>
  </w:style>
  <w:style w:type="character" w:customStyle="1" w:styleId="Titre1Car">
    <w:name w:val="Titre 1 Car"/>
    <w:basedOn w:val="Policepardfaut"/>
    <w:link w:val="Titre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Titre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Titre2"/>
    <w:next w:val="ECHRParaSpaced"/>
    <w:uiPriority w:val="14"/>
    <w:qFormat/>
    <w:rsid w:val="00E20E13"/>
    <w:pPr>
      <w:keepNext/>
      <w:keepLines/>
      <w:spacing w:before="240"/>
      <w:contextualSpacing/>
    </w:pPr>
    <w:rPr>
      <w:bCs w:val="0"/>
      <w:color w:val="2F2F2F" w:themeColor="accent3" w:themeShade="80"/>
      <w:sz w:val="28"/>
    </w:rPr>
  </w:style>
  <w:style w:type="character" w:customStyle="1" w:styleId="Titre2Car">
    <w:name w:val="Titre 2 Car"/>
    <w:basedOn w:val="Policepardfaut"/>
    <w:link w:val="Titre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Titre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Titre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Titre3Car">
    <w:name w:val="Titre 3 Car"/>
    <w:basedOn w:val="Policepardfaut"/>
    <w:link w:val="Titre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Titre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Titre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Titre4Car">
    <w:name w:val="Titre 4 Car"/>
    <w:basedOn w:val="Policepardfaut"/>
    <w:link w:val="Titre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Titre7"/>
    <w:next w:val="ECHRParaSpaced"/>
    <w:uiPriority w:val="14"/>
    <w:rsid w:val="00427E7A"/>
    <w:pPr>
      <w:keepNext/>
      <w:keepLines/>
      <w:spacing w:before="240"/>
      <w:contextualSpacing/>
    </w:pPr>
    <w:rPr>
      <w:b/>
      <w:i w:val="0"/>
      <w:color w:val="474747" w:themeColor="accent3" w:themeShade="BF"/>
      <w:sz w:val="20"/>
    </w:rPr>
  </w:style>
  <w:style w:type="character" w:customStyle="1" w:styleId="Titre5Car">
    <w:name w:val="Titre 5 Car"/>
    <w:basedOn w:val="Policepardfaut"/>
    <w:link w:val="Titre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Emphaseple">
    <w:name w:val="Subtle Emphasis"/>
    <w:uiPriority w:val="99"/>
    <w:semiHidden/>
    <w:qFormat/>
    <w:rsid w:val="00941747"/>
    <w:rPr>
      <w:i/>
      <w:iCs/>
    </w:rPr>
  </w:style>
  <w:style w:type="character" w:customStyle="1" w:styleId="ECHRRed">
    <w:name w:val="ECHR_Red"/>
    <w:aliases w:val="Red"/>
    <w:basedOn w:val="Policepardfaut"/>
    <w:uiPriority w:val="13"/>
    <w:qFormat/>
    <w:rsid w:val="00941747"/>
    <w:rPr>
      <w:color w:val="C00000" w:themeColor="accent2"/>
    </w:rPr>
  </w:style>
  <w:style w:type="table" w:customStyle="1" w:styleId="ECHRTable">
    <w:name w:val="ECHR_Table"/>
    <w:basedOn w:val="Tableau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au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Accentuation">
    <w:name w:val="Emphasis"/>
    <w:uiPriority w:val="99"/>
    <w:semiHidden/>
    <w:qFormat/>
    <w:rsid w:val="00941747"/>
    <w:rPr>
      <w:b/>
      <w:bCs/>
      <w:i/>
      <w:iCs/>
      <w:spacing w:val="10"/>
      <w:bdr w:val="none" w:sz="0" w:space="0" w:color="auto"/>
      <w:shd w:val="clear" w:color="auto" w:fill="auto"/>
    </w:rPr>
  </w:style>
  <w:style w:type="paragraph" w:styleId="Pieddepage">
    <w:name w:val="footer"/>
    <w:basedOn w:val="Normal"/>
    <w:link w:val="PieddepageCar"/>
    <w:uiPriority w:val="49"/>
    <w:semiHidden/>
    <w:rsid w:val="00941747"/>
    <w:pPr>
      <w:tabs>
        <w:tab w:val="center" w:pos="4536"/>
        <w:tab w:val="right" w:pos="9696"/>
      </w:tabs>
      <w:ind w:left="-680" w:right="-680"/>
    </w:pPr>
  </w:style>
  <w:style w:type="character" w:customStyle="1" w:styleId="PieddepageCar">
    <w:name w:val="Pied de page Car"/>
    <w:basedOn w:val="Policepardfaut"/>
    <w:link w:val="Pieddepage"/>
    <w:uiPriority w:val="49"/>
    <w:semiHidden/>
    <w:rsid w:val="008D4752"/>
  </w:style>
  <w:style w:type="character" w:styleId="Appelnotedebasdep">
    <w:name w:val="footnote reference"/>
    <w:basedOn w:val="Policepardfaut"/>
    <w:uiPriority w:val="99"/>
    <w:semiHidden/>
    <w:rsid w:val="00941747"/>
    <w:rPr>
      <w:vertAlign w:val="superscript"/>
    </w:rPr>
  </w:style>
  <w:style w:type="paragraph" w:styleId="Notedebasdepage">
    <w:name w:val="footnote text"/>
    <w:basedOn w:val="NormalJustified"/>
    <w:link w:val="NotedebasdepageCar"/>
    <w:uiPriority w:val="99"/>
    <w:semiHidden/>
    <w:rsid w:val="00941747"/>
    <w:rPr>
      <w:sz w:val="20"/>
      <w:szCs w:val="20"/>
    </w:rPr>
  </w:style>
  <w:style w:type="character" w:customStyle="1" w:styleId="NotedebasdepageCar">
    <w:name w:val="Note de bas de page Car"/>
    <w:basedOn w:val="Policepardfaut"/>
    <w:link w:val="Notedebasdepage"/>
    <w:uiPriority w:val="99"/>
    <w:semiHidden/>
    <w:rsid w:val="00E07BC4"/>
    <w:rPr>
      <w:sz w:val="20"/>
      <w:szCs w:val="20"/>
    </w:rPr>
  </w:style>
  <w:style w:type="character" w:customStyle="1" w:styleId="Titre6Car">
    <w:name w:val="Titre 6 Car"/>
    <w:basedOn w:val="Policepardfaut"/>
    <w:link w:val="Titre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Titre7Car">
    <w:name w:val="Titre 7 Car"/>
    <w:basedOn w:val="Policepardfaut"/>
    <w:link w:val="Titre7"/>
    <w:uiPriority w:val="99"/>
    <w:semiHidden/>
    <w:rsid w:val="00A671F8"/>
    <w:rPr>
      <w:rFonts w:asciiTheme="majorHAnsi" w:eastAsiaTheme="majorEastAsia" w:hAnsiTheme="majorHAnsi" w:cstheme="majorBidi"/>
      <w:i/>
      <w:iCs/>
      <w:lang w:bidi="en-US"/>
    </w:rPr>
  </w:style>
  <w:style w:type="character" w:customStyle="1" w:styleId="Titre8Car">
    <w:name w:val="Titre 8 Car"/>
    <w:basedOn w:val="Policepardfaut"/>
    <w:link w:val="Titre8"/>
    <w:uiPriority w:val="99"/>
    <w:semiHidden/>
    <w:rsid w:val="00A671F8"/>
    <w:rPr>
      <w:rFonts w:asciiTheme="majorHAnsi" w:eastAsiaTheme="majorEastAsia" w:hAnsiTheme="majorHAnsi" w:cstheme="majorBidi"/>
      <w:sz w:val="20"/>
      <w:szCs w:val="20"/>
      <w:lang w:bidi="en-US"/>
    </w:rPr>
  </w:style>
  <w:style w:type="character" w:customStyle="1" w:styleId="Titre9Car">
    <w:name w:val="Titre 9 Car"/>
    <w:basedOn w:val="Policepardfaut"/>
    <w:link w:val="Titre9"/>
    <w:uiPriority w:val="99"/>
    <w:semiHidden/>
    <w:rsid w:val="00A671F8"/>
    <w:rPr>
      <w:rFonts w:asciiTheme="majorHAnsi" w:eastAsiaTheme="majorEastAsia" w:hAnsiTheme="majorHAnsi" w:cstheme="majorBidi"/>
      <w:i/>
      <w:iCs/>
      <w:spacing w:val="5"/>
      <w:sz w:val="20"/>
      <w:szCs w:val="20"/>
      <w:lang w:bidi="en-US"/>
    </w:rPr>
  </w:style>
  <w:style w:type="character" w:styleId="Lienhypertexte">
    <w:name w:val="Hyperlink"/>
    <w:basedOn w:val="Policepardfaut"/>
    <w:uiPriority w:val="99"/>
    <w:semiHidden/>
    <w:rsid w:val="00941747"/>
    <w:rPr>
      <w:color w:val="0072BC" w:themeColor="hyperlink"/>
      <w:u w:val="single"/>
    </w:rPr>
  </w:style>
  <w:style w:type="character" w:styleId="Emphaseintense">
    <w:name w:val="Intense Emphasis"/>
    <w:uiPriority w:val="99"/>
    <w:semiHidden/>
    <w:qFormat/>
    <w:rsid w:val="00941747"/>
    <w:rPr>
      <w:b/>
      <w:bCs/>
    </w:rPr>
  </w:style>
  <w:style w:type="paragraph" w:styleId="Citationintense">
    <w:name w:val="Intense Quote"/>
    <w:basedOn w:val="Normal"/>
    <w:next w:val="Normal"/>
    <w:link w:val="CitationintenseCar"/>
    <w:uiPriority w:val="99"/>
    <w:semiHidden/>
    <w:qFormat/>
    <w:rsid w:val="00941747"/>
    <w:pPr>
      <w:pBdr>
        <w:bottom w:val="single" w:sz="4" w:space="1" w:color="auto"/>
      </w:pBdr>
      <w:spacing w:before="200" w:after="280"/>
      <w:ind w:left="1008" w:right="1152"/>
    </w:pPr>
    <w:rPr>
      <w:b/>
      <w:bCs/>
      <w:i/>
      <w:iCs/>
      <w:lang w:bidi="en-US"/>
    </w:rPr>
  </w:style>
  <w:style w:type="character" w:customStyle="1" w:styleId="CitationintenseCar">
    <w:name w:val="Citation intense Car"/>
    <w:basedOn w:val="Policepardfaut"/>
    <w:link w:val="Citationintense"/>
    <w:uiPriority w:val="99"/>
    <w:semiHidden/>
    <w:rsid w:val="00A671F8"/>
    <w:rPr>
      <w:rFonts w:eastAsiaTheme="minorEastAsia"/>
      <w:b/>
      <w:bCs/>
      <w:i/>
      <w:iCs/>
      <w:lang w:bidi="en-US"/>
    </w:rPr>
  </w:style>
  <w:style w:type="character" w:styleId="Rfrenceintense">
    <w:name w:val="Intense Reference"/>
    <w:uiPriority w:val="99"/>
    <w:semiHidden/>
    <w:qFormat/>
    <w:rsid w:val="00941747"/>
    <w:rPr>
      <w:smallCaps/>
      <w:spacing w:val="5"/>
      <w:u w:val="single"/>
    </w:rPr>
  </w:style>
  <w:style w:type="paragraph" w:styleId="Paragraphedeliste">
    <w:name w:val="List Paragraph"/>
    <w:basedOn w:val="Normal"/>
    <w:uiPriority w:val="99"/>
    <w:semiHidden/>
    <w:qFormat/>
    <w:rsid w:val="00941747"/>
    <w:pPr>
      <w:ind w:left="720"/>
      <w:contextualSpacing/>
    </w:pPr>
  </w:style>
  <w:style w:type="table" w:customStyle="1" w:styleId="LtrTableAddress">
    <w:name w:val="Ltr_Table_Address"/>
    <w:basedOn w:val="TableauNormal"/>
    <w:uiPriority w:val="99"/>
    <w:rsid w:val="001E6F32"/>
    <w:tblPr>
      <w:tblInd w:w="5103" w:type="dxa"/>
    </w:tblPr>
  </w:style>
  <w:style w:type="paragraph" w:styleId="Citation">
    <w:name w:val="Quote"/>
    <w:basedOn w:val="Normal"/>
    <w:next w:val="Normal"/>
    <w:link w:val="CitationCar"/>
    <w:uiPriority w:val="99"/>
    <w:semiHidden/>
    <w:qFormat/>
    <w:rsid w:val="00941747"/>
    <w:pPr>
      <w:spacing w:before="200"/>
      <w:ind w:left="360" w:right="360"/>
    </w:pPr>
    <w:rPr>
      <w:i/>
      <w:iCs/>
      <w:lang w:bidi="en-US"/>
    </w:rPr>
  </w:style>
  <w:style w:type="character" w:customStyle="1" w:styleId="CitationCar">
    <w:name w:val="Citation Car"/>
    <w:basedOn w:val="Policepardfaut"/>
    <w:link w:val="Citation"/>
    <w:uiPriority w:val="99"/>
    <w:semiHidden/>
    <w:rsid w:val="00A671F8"/>
    <w:rPr>
      <w:rFonts w:eastAsiaTheme="minorEastAsia"/>
      <w:i/>
      <w:iCs/>
      <w:lang w:bidi="en-US"/>
    </w:rPr>
  </w:style>
  <w:style w:type="character" w:styleId="Rfrenceple">
    <w:name w:val="Subtle Reference"/>
    <w:uiPriority w:val="99"/>
    <w:semiHidden/>
    <w:qFormat/>
    <w:rsid w:val="00941747"/>
    <w:rPr>
      <w:smallCaps/>
    </w:rPr>
  </w:style>
  <w:style w:type="table" w:styleId="Grilledutableau">
    <w:name w:val="Table Grid"/>
    <w:basedOn w:val="Tableau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M2">
    <w:name w:val="toc 2"/>
    <w:basedOn w:val="Normal"/>
    <w:next w:val="Normal"/>
    <w:autoRedefine/>
    <w:uiPriority w:val="99"/>
    <w:semiHidden/>
    <w:rsid w:val="00EA185E"/>
    <w:pPr>
      <w:spacing w:after="60"/>
      <w:ind w:left="680" w:right="340" w:hanging="340"/>
    </w:pPr>
  </w:style>
  <w:style w:type="paragraph" w:styleId="TM3">
    <w:name w:val="toc 3"/>
    <w:basedOn w:val="Normal"/>
    <w:next w:val="Normal"/>
    <w:autoRedefine/>
    <w:uiPriority w:val="99"/>
    <w:semiHidden/>
    <w:rsid w:val="00EA185E"/>
    <w:pPr>
      <w:spacing w:after="60"/>
      <w:ind w:left="1020" w:right="340" w:hanging="340"/>
    </w:pPr>
  </w:style>
  <w:style w:type="paragraph" w:styleId="TM4">
    <w:name w:val="toc 4"/>
    <w:basedOn w:val="Normal"/>
    <w:next w:val="Normal"/>
    <w:autoRedefine/>
    <w:uiPriority w:val="99"/>
    <w:semiHidden/>
    <w:rsid w:val="00EA185E"/>
    <w:pPr>
      <w:tabs>
        <w:tab w:val="right" w:leader="dot" w:pos="9017"/>
      </w:tabs>
      <w:spacing w:after="60"/>
      <w:ind w:left="1361" w:right="340" w:hanging="340"/>
    </w:pPr>
  </w:style>
  <w:style w:type="paragraph" w:styleId="TM5">
    <w:name w:val="toc 5"/>
    <w:basedOn w:val="Normal"/>
    <w:next w:val="Normal"/>
    <w:autoRedefine/>
    <w:uiPriority w:val="99"/>
    <w:semiHidden/>
    <w:rsid w:val="00B46543"/>
    <w:pPr>
      <w:spacing w:after="60"/>
      <w:ind w:left="1701" w:right="340" w:hanging="340"/>
    </w:pPr>
  </w:style>
  <w:style w:type="paragraph" w:styleId="En-ttedetabledesmatires">
    <w:name w:val="TOC Heading"/>
    <w:basedOn w:val="ECHRTitleCentre2"/>
    <w:next w:val="Normal"/>
    <w:uiPriority w:val="99"/>
    <w:semiHidden/>
    <w:qFormat/>
    <w:rsid w:val="00E84AA5"/>
  </w:style>
  <w:style w:type="table" w:customStyle="1" w:styleId="UGTable">
    <w:name w:val="UG_Table"/>
    <w:basedOn w:val="Tableau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au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au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au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au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au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reTR">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au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au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au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au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En-tte"/>
    <w:uiPriority w:val="39"/>
    <w:rsid w:val="0039364F"/>
    <w:pPr>
      <w:tabs>
        <w:tab w:val="clear" w:pos="4536"/>
        <w:tab w:val="clear" w:pos="9696"/>
        <w:tab w:val="center" w:pos="6787"/>
        <w:tab w:val="right" w:pos="14640"/>
      </w:tabs>
    </w:pPr>
  </w:style>
  <w:style w:type="table" w:customStyle="1" w:styleId="ECHRHeaderTable">
    <w:name w:val="ECHR_Header_Table"/>
    <w:basedOn w:val="Tableau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au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au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Textedelespacerserv">
    <w:name w:val="Placeholder Text"/>
    <w:basedOn w:val="Policepardfaut"/>
    <w:uiPriority w:val="99"/>
    <w:semiHidden/>
    <w:rsid w:val="0026599B"/>
    <w:rPr>
      <w:color w:val="auto"/>
      <w:bdr w:val="none" w:sz="0" w:space="0" w:color="auto"/>
      <w:shd w:val="clear" w:color="auto" w:fill="DFDFDF" w:themeFill="background2" w:themeFillShade="E6"/>
    </w:rPr>
  </w:style>
  <w:style w:type="paragraph" w:customStyle="1" w:styleId="JuPara">
    <w:name w:val="Ju_Para"/>
    <w:aliases w:val="Left,First line:  0 cm"/>
    <w:basedOn w:val="Normal"/>
    <w:link w:val="JuParaChar"/>
    <w:rsid w:val="00F65844"/>
    <w:pPr>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link w:val="JuPara"/>
    <w:rsid w:val="00F65844"/>
    <w:rPr>
      <w:rFonts w:ascii="Times New Roman" w:eastAsia="Times New Roman" w:hAnsi="Times New Roman" w:cs="Times New Roman"/>
      <w:sz w:val="24"/>
      <w:szCs w:val="20"/>
      <w:lang w:val="en-GB" w:eastAsia="fr-FR"/>
    </w:rPr>
  </w:style>
  <w:style w:type="paragraph" w:customStyle="1" w:styleId="JuQuot">
    <w:name w:val="Ju_Quot"/>
    <w:basedOn w:val="Normal"/>
    <w:rsid w:val="00F65844"/>
    <w:pPr>
      <w:suppressAutoHyphens/>
      <w:spacing w:before="120" w:after="120"/>
      <w:ind w:left="403" w:firstLine="176"/>
      <w:jc w:val="both"/>
    </w:pPr>
    <w:rPr>
      <w:rFonts w:ascii="Times New Roman" w:eastAsia="Times New Roman" w:hAnsi="Times New Roman" w:cs="Times New Roman"/>
      <w:sz w:val="20"/>
      <w:szCs w:val="20"/>
      <w:lang w:val="en-GB"/>
    </w:rPr>
  </w:style>
  <w:style w:type="character" w:customStyle="1" w:styleId="sb8d990e2">
    <w:name w:val="sb8d990e2"/>
    <w:rsid w:val="00D14733"/>
  </w:style>
  <w:style w:type="character" w:customStyle="1" w:styleId="ju-005fpara--char">
    <w:name w:val="ju-005fpara--char"/>
    <w:rsid w:val="00D14733"/>
  </w:style>
  <w:style w:type="paragraph" w:customStyle="1" w:styleId="JuH1">
    <w:name w:val="Ju_H_1."/>
    <w:basedOn w:val="Normal"/>
    <w:next w:val="JuPara"/>
    <w:rsid w:val="00D14733"/>
    <w:pPr>
      <w:keepNext/>
      <w:keepLines/>
      <w:tabs>
        <w:tab w:val="left" w:pos="731"/>
      </w:tabs>
      <w:spacing w:before="240" w:after="120"/>
      <w:ind w:left="732" w:hanging="301"/>
      <w:jc w:val="both"/>
      <w:outlineLvl w:val="3"/>
    </w:pPr>
    <w:rPr>
      <w:rFonts w:ascii="Times New Roman" w:eastAsia="Times New Roman" w:hAnsi="Times New Roman" w:cs="Times New Roman"/>
      <w:i/>
      <w:sz w:val="24"/>
      <w:szCs w:val="20"/>
      <w:lang w:val="en-GB" w:eastAsia="fr-FR"/>
    </w:rPr>
  </w:style>
  <w:style w:type="character" w:customStyle="1" w:styleId="wordhighlighted">
    <w:name w:val="wordhighlighted"/>
    <w:rsid w:val="00D14733"/>
  </w:style>
  <w:style w:type="paragraph" w:customStyle="1" w:styleId="JuHA">
    <w:name w:val="Ju_H_A"/>
    <w:basedOn w:val="Normal"/>
    <w:next w:val="JuPara"/>
    <w:rsid w:val="00D14733"/>
    <w:pPr>
      <w:keepNext/>
      <w:keepLines/>
      <w:tabs>
        <w:tab w:val="left" w:pos="584"/>
      </w:tabs>
      <w:spacing w:before="360" w:after="240"/>
      <w:ind w:left="584" w:hanging="352"/>
      <w:jc w:val="both"/>
      <w:outlineLvl w:val="2"/>
    </w:pPr>
    <w:rPr>
      <w:rFonts w:ascii="Times New Roman" w:eastAsia="Times New Roman" w:hAnsi="Times New Roman" w:cs="Times New Roman"/>
      <w:b/>
      <w:sz w:val="24"/>
      <w:szCs w:val="20"/>
      <w:lang w:val="en-GB" w:eastAsia="fr-FR"/>
    </w:rPr>
  </w:style>
  <w:style w:type="paragraph" w:customStyle="1" w:styleId="JuHa0">
    <w:name w:val="Ju_H_a"/>
    <w:basedOn w:val="JuH1"/>
    <w:next w:val="JuPara"/>
    <w:rsid w:val="00D14733"/>
    <w:pPr>
      <w:tabs>
        <w:tab w:val="clear" w:pos="731"/>
        <w:tab w:val="left" w:pos="975"/>
      </w:tabs>
      <w:ind w:left="975" w:hanging="340"/>
      <w:outlineLvl w:val="4"/>
    </w:pPr>
    <w:rPr>
      <w:b/>
      <w:i w:val="0"/>
      <w:sz w:val="20"/>
    </w:rPr>
  </w:style>
  <w:style w:type="character" w:customStyle="1" w:styleId="s6b621b36">
    <w:name w:val="s6b621b36"/>
    <w:rsid w:val="00D14733"/>
  </w:style>
  <w:style w:type="character" w:customStyle="1" w:styleId="s7d2086b4">
    <w:name w:val="s7d2086b4"/>
    <w:rsid w:val="00D14733"/>
  </w:style>
  <w:style w:type="paragraph" w:customStyle="1" w:styleId="JuHi">
    <w:name w:val="Ju_H_i"/>
    <w:basedOn w:val="JuHa0"/>
    <w:next w:val="JuPara"/>
    <w:rsid w:val="00D14733"/>
    <w:pPr>
      <w:tabs>
        <w:tab w:val="clear" w:pos="975"/>
        <w:tab w:val="left" w:pos="1191"/>
      </w:tabs>
      <w:ind w:left="1190" w:hanging="357"/>
      <w:outlineLvl w:val="5"/>
    </w:pPr>
    <w:rPr>
      <w:b w:val="0"/>
      <w:i/>
    </w:rPr>
  </w:style>
  <w:style w:type="paragraph" w:customStyle="1" w:styleId="s32b251d">
    <w:name w:val="s32b251d"/>
    <w:basedOn w:val="Normal"/>
    <w:rsid w:val="00D77F3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f1c7242d">
    <w:name w:val="sf1c7242d"/>
    <w:basedOn w:val="Policepardfaut"/>
    <w:rsid w:val="00D77F35"/>
  </w:style>
  <w:style w:type="paragraph" w:customStyle="1" w:styleId="s30eec3f8">
    <w:name w:val="s30eec3f8"/>
    <w:basedOn w:val="Normal"/>
    <w:rsid w:val="00592CFF"/>
    <w:pPr>
      <w:spacing w:before="100" w:beforeAutospacing="1" w:after="100" w:afterAutospacing="1"/>
    </w:pPr>
    <w:rPr>
      <w:rFonts w:ascii="Times New Roman" w:eastAsia="Times New Roman" w:hAnsi="Times New Roman" w:cs="Times New Roman"/>
      <w:sz w:val="24"/>
      <w:szCs w:val="24"/>
      <w:lang w:val="fr-FR" w:eastAsia="fr-FR"/>
    </w:rPr>
  </w:style>
  <w:style w:type="paragraph" w:styleId="Notedefin">
    <w:name w:val="endnote text"/>
    <w:basedOn w:val="Normal"/>
    <w:link w:val="NotedefinCar"/>
    <w:uiPriority w:val="99"/>
    <w:semiHidden/>
    <w:rsid w:val="00FD6077"/>
    <w:rPr>
      <w:sz w:val="20"/>
      <w:szCs w:val="20"/>
    </w:rPr>
  </w:style>
  <w:style w:type="character" w:customStyle="1" w:styleId="NotedefinCar">
    <w:name w:val="Note de fin Car"/>
    <w:basedOn w:val="Policepardfaut"/>
    <w:link w:val="Notedefin"/>
    <w:uiPriority w:val="99"/>
    <w:semiHidden/>
    <w:rsid w:val="00FD6077"/>
    <w:rPr>
      <w:sz w:val="20"/>
      <w:szCs w:val="20"/>
    </w:rPr>
  </w:style>
  <w:style w:type="character" w:styleId="Appeldenotedefin">
    <w:name w:val="endnote reference"/>
    <w:basedOn w:val="Policepardfaut"/>
    <w:uiPriority w:val="99"/>
    <w:semiHidden/>
    <w:rsid w:val="00FD6077"/>
    <w:rPr>
      <w:vertAlign w:val="superscript"/>
    </w:rPr>
  </w:style>
  <w:style w:type="character" w:customStyle="1" w:styleId="JuParaCar">
    <w:name w:val="Ju_Para Car"/>
    <w:uiPriority w:val="12"/>
    <w:rsid w:val="003B1758"/>
    <w:rPr>
      <w:rFonts w:eastAsia="Times New Roman"/>
      <w:sz w:val="24"/>
    </w:rPr>
  </w:style>
  <w:style w:type="paragraph" w:customStyle="1" w:styleId="JuAppQuestion">
    <w:name w:val="Ju_App_Question"/>
    <w:basedOn w:val="Normal"/>
    <w:uiPriority w:val="5"/>
    <w:rsid w:val="003B1758"/>
    <w:pPr>
      <w:numPr>
        <w:numId w:val="8"/>
      </w:numPr>
      <w:tabs>
        <w:tab w:val="clear" w:pos="720"/>
        <w:tab w:val="num" w:pos="964"/>
      </w:tabs>
      <w:ind w:left="964" w:hanging="397"/>
      <w:jc w:val="both"/>
    </w:pPr>
    <w:rPr>
      <w:rFonts w:eastAsia="Times New Roman"/>
      <w:b/>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8" w:qFormat="1"/>
    <w:lsdException w:name="heading 2" w:uiPriority="98" w:unhideWhenUsed="1" w:qFormat="1"/>
    <w:lsdException w:name="heading 3" w:uiPriority="98" w:unhideWhenUsed="1" w:qFormat="1"/>
    <w:lsdException w:name="heading 4" w:uiPriority="98" w:unhideWhenUsed="1" w:qFormat="1"/>
    <w:lsdException w:name="heading 5" w:uiPriority="98" w:unhideWhenUsed="1" w:qFormat="1"/>
    <w:lsdException w:name="heading 6" w:uiPriority="98" w:unhideWhenUsed="1" w:qFormat="1"/>
    <w:lsdException w:name="heading 7" w:uiPriority="98" w:unhideWhenUsed="1" w:qFormat="1"/>
    <w:lsdException w:name="heading 8" w:uiPriority="98" w:unhideWhenUsed="1" w:qFormat="1"/>
    <w:lsdException w:name="heading 9" w:uiPriority="98"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footnote text" w:unhideWhenUsed="1"/>
    <w:lsdException w:name="header" w:uiPriority="82" w:unhideWhenUsed="1"/>
    <w:lsdException w:name="footer" w:uiPriority="83" w:unhideWhenUsed="1"/>
    <w:lsdException w:name="caption" w:qFormat="1"/>
    <w:lsdException w:name="footnote reference" w:unhideWhenUsed="1"/>
    <w:lsdException w:name="Title" w:semiHidden="0" w:uiPriority="98" w:qFormat="1"/>
    <w:lsdException w:name="Default Paragraph Font" w:uiPriority="1" w:unhideWhenUsed="1"/>
    <w:lsdException w:name="Subtitle" w:uiPriority="98" w:qFormat="1"/>
    <w:lsdException w:name="Hyperlink" w:unhideWhenUsed="1"/>
    <w:lsdException w:name="Strong" w:semiHidden="0" w:uiPriority="98" w:qFormat="1"/>
    <w:lsdException w:name="Emphasis" w:semiHidden="0" w:uiPriority="98"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semiHidden="0"/>
    <w:lsdException w:name="No Spacing" w:semiHidden="0" w:uiPriority="1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98" w:qFormat="1"/>
    <w:lsdException w:name="Quote" w:semiHidden="0" w:uiPriority="98" w:qFormat="1"/>
    <w:lsdException w:name="Intense Quote" w:semiHidden="0" w:uiPriority="98"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98" w:qFormat="1"/>
    <w:lsdException w:name="Intense Emphasis" w:semiHidden="0" w:uiPriority="98" w:qFormat="1"/>
    <w:lsdException w:name="Subtle Reference" w:semiHidden="0" w:uiPriority="98" w:qFormat="1"/>
    <w:lsdException w:name="Intense Reference" w:semiHidden="0" w:uiPriority="98" w:qFormat="1"/>
    <w:lsdException w:name="Book Title" w:semiHidden="0" w:uiPriority="98" w:qFormat="1"/>
    <w:lsdException w:name="TOC Heading" w:uiPriority="39" w:unhideWhenUsed="1" w:qFormat="1"/>
  </w:latentStyles>
  <w:style w:type="paragraph" w:default="1" w:styleId="Normal">
    <w:name w:val="Normal"/>
    <w:semiHidden/>
    <w:rsid w:val="00E84AA5"/>
  </w:style>
  <w:style w:type="paragraph" w:styleId="Titre1">
    <w:name w:val="heading 1"/>
    <w:basedOn w:val="Normal"/>
    <w:next w:val="Normal"/>
    <w:link w:val="Titre1Car"/>
    <w:uiPriority w:val="99"/>
    <w:semiHidden/>
    <w:rsid w:val="00941747"/>
    <w:pPr>
      <w:spacing w:before="480"/>
      <w:contextualSpacing/>
      <w:outlineLvl w:val="0"/>
    </w:pPr>
    <w:rPr>
      <w:rFonts w:asciiTheme="majorHAnsi" w:eastAsiaTheme="majorEastAsia" w:hAnsiTheme="majorHAnsi" w:cstheme="majorBidi"/>
      <w:b/>
      <w:bCs/>
      <w:color w:val="333333"/>
      <w:sz w:val="28"/>
      <w:szCs w:val="28"/>
    </w:rPr>
  </w:style>
  <w:style w:type="paragraph" w:styleId="Titre2">
    <w:name w:val="heading 2"/>
    <w:basedOn w:val="Normal"/>
    <w:next w:val="Normal"/>
    <w:link w:val="Titre2Car"/>
    <w:uiPriority w:val="99"/>
    <w:semiHidden/>
    <w:rsid w:val="00941747"/>
    <w:pPr>
      <w:spacing w:before="200"/>
      <w:outlineLvl w:val="1"/>
    </w:pPr>
    <w:rPr>
      <w:rFonts w:asciiTheme="majorHAnsi" w:eastAsiaTheme="majorEastAsia" w:hAnsiTheme="majorHAnsi" w:cstheme="majorBidi"/>
      <w:b/>
      <w:bCs/>
      <w:color w:val="4D4D4D"/>
      <w:sz w:val="26"/>
      <w:szCs w:val="26"/>
    </w:rPr>
  </w:style>
  <w:style w:type="paragraph" w:styleId="Titre3">
    <w:name w:val="heading 3"/>
    <w:basedOn w:val="Normal"/>
    <w:next w:val="Normal"/>
    <w:link w:val="Titre3Car"/>
    <w:uiPriority w:val="99"/>
    <w:semiHidden/>
    <w:rsid w:val="00941747"/>
    <w:pPr>
      <w:spacing w:before="200" w:line="271" w:lineRule="auto"/>
      <w:outlineLvl w:val="2"/>
    </w:pPr>
    <w:rPr>
      <w:rFonts w:asciiTheme="majorHAnsi" w:eastAsiaTheme="majorEastAsia" w:hAnsiTheme="majorHAnsi" w:cstheme="majorBidi"/>
      <w:b/>
      <w:bCs/>
      <w:color w:val="5F5F5F"/>
    </w:rPr>
  </w:style>
  <w:style w:type="paragraph" w:styleId="Titre4">
    <w:name w:val="heading 4"/>
    <w:basedOn w:val="Normal"/>
    <w:next w:val="Normal"/>
    <w:link w:val="Titre4Car"/>
    <w:uiPriority w:val="99"/>
    <w:semiHidden/>
    <w:rsid w:val="00941747"/>
    <w:pPr>
      <w:spacing w:before="200"/>
      <w:outlineLvl w:val="3"/>
    </w:pPr>
    <w:rPr>
      <w:rFonts w:asciiTheme="majorHAnsi" w:eastAsiaTheme="majorEastAsia" w:hAnsiTheme="majorHAnsi" w:cstheme="majorBidi"/>
      <w:b/>
      <w:bCs/>
      <w:i/>
      <w:iCs/>
      <w:color w:val="777777"/>
    </w:rPr>
  </w:style>
  <w:style w:type="paragraph" w:styleId="Titre5">
    <w:name w:val="heading 5"/>
    <w:basedOn w:val="Normal"/>
    <w:next w:val="Normal"/>
    <w:link w:val="Titre5Car"/>
    <w:uiPriority w:val="99"/>
    <w:semiHidden/>
    <w:qFormat/>
    <w:rsid w:val="00941747"/>
    <w:pPr>
      <w:spacing w:before="200"/>
      <w:outlineLvl w:val="4"/>
    </w:pPr>
    <w:rPr>
      <w:rFonts w:asciiTheme="majorHAnsi" w:eastAsiaTheme="majorEastAsia" w:hAnsiTheme="majorHAnsi" w:cstheme="majorBidi"/>
      <w:b/>
      <w:bCs/>
      <w:color w:val="808080"/>
    </w:rPr>
  </w:style>
  <w:style w:type="paragraph" w:styleId="Titre6">
    <w:name w:val="heading 6"/>
    <w:basedOn w:val="Normal"/>
    <w:next w:val="Normal"/>
    <w:link w:val="Titre6Car"/>
    <w:uiPriority w:val="99"/>
    <w:semiHidden/>
    <w:rsid w:val="00941747"/>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Titre7">
    <w:name w:val="heading 7"/>
    <w:basedOn w:val="Normal"/>
    <w:next w:val="Normal"/>
    <w:link w:val="Titre7Car"/>
    <w:uiPriority w:val="99"/>
    <w:semiHidden/>
    <w:qFormat/>
    <w:rsid w:val="00941747"/>
    <w:pPr>
      <w:outlineLvl w:val="6"/>
    </w:pPr>
    <w:rPr>
      <w:rFonts w:asciiTheme="majorHAnsi" w:eastAsiaTheme="majorEastAsia" w:hAnsiTheme="majorHAnsi" w:cstheme="majorBidi"/>
      <w:i/>
      <w:iCs/>
      <w:lang w:bidi="en-US"/>
    </w:rPr>
  </w:style>
  <w:style w:type="paragraph" w:styleId="Titre8">
    <w:name w:val="heading 8"/>
    <w:basedOn w:val="Normal"/>
    <w:next w:val="Normal"/>
    <w:link w:val="Titre8Car"/>
    <w:uiPriority w:val="99"/>
    <w:semiHidden/>
    <w:qFormat/>
    <w:rsid w:val="00941747"/>
    <w:pPr>
      <w:outlineLvl w:val="7"/>
    </w:pPr>
    <w:rPr>
      <w:rFonts w:asciiTheme="majorHAnsi" w:eastAsiaTheme="majorEastAsia" w:hAnsiTheme="majorHAnsi" w:cstheme="majorBidi"/>
      <w:sz w:val="20"/>
      <w:szCs w:val="20"/>
      <w:lang w:bidi="en-US"/>
    </w:rPr>
  </w:style>
  <w:style w:type="paragraph" w:styleId="Titre9">
    <w:name w:val="heading 9"/>
    <w:basedOn w:val="Normal"/>
    <w:next w:val="Normal"/>
    <w:link w:val="Titre9Car"/>
    <w:uiPriority w:val="99"/>
    <w:semiHidden/>
    <w:qFormat/>
    <w:rsid w:val="00941747"/>
    <w:pPr>
      <w:outlineLvl w:val="8"/>
    </w:pPr>
    <w:rPr>
      <w:rFonts w:asciiTheme="majorHAnsi" w:eastAsiaTheme="majorEastAsia" w:hAnsiTheme="majorHAnsi" w:cstheme="majorBidi"/>
      <w:i/>
      <w:iCs/>
      <w:spacing w:val="5"/>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941747"/>
    <w:rPr>
      <w:rFonts w:ascii="Tahoma" w:hAnsi="Tahoma" w:cs="Tahoma"/>
      <w:sz w:val="16"/>
      <w:szCs w:val="16"/>
    </w:rPr>
  </w:style>
  <w:style w:type="character" w:customStyle="1" w:styleId="TextedebullesCar">
    <w:name w:val="Texte de bulles Car"/>
    <w:basedOn w:val="Policepardfaut"/>
    <w:link w:val="Textedebulles"/>
    <w:uiPriority w:val="99"/>
    <w:semiHidden/>
    <w:rsid w:val="00A671F8"/>
    <w:rPr>
      <w:rFonts w:ascii="Tahoma" w:eastAsiaTheme="minorEastAsia" w:hAnsi="Tahoma" w:cs="Tahoma"/>
      <w:sz w:val="16"/>
      <w:szCs w:val="16"/>
    </w:rPr>
  </w:style>
  <w:style w:type="character" w:styleId="Titredulivre">
    <w:name w:val="Book Title"/>
    <w:uiPriority w:val="99"/>
    <w:semiHidden/>
    <w:qFormat/>
    <w:rsid w:val="00941747"/>
    <w:rPr>
      <w:i/>
      <w:iCs/>
      <w:smallCaps/>
      <w:spacing w:val="5"/>
    </w:rPr>
  </w:style>
  <w:style w:type="numbering" w:customStyle="1" w:styleId="ECHRA1StyleBulletedSquare">
    <w:name w:val="ECHR_A1_Style_Bulleted_Square"/>
    <w:basedOn w:val="Aucuneliste"/>
    <w:rsid w:val="008754AB"/>
    <w:pPr>
      <w:numPr>
        <w:numId w:val="2"/>
      </w:numPr>
    </w:pPr>
  </w:style>
  <w:style w:type="numbering" w:customStyle="1" w:styleId="ECHRA1StyleNumberedList">
    <w:name w:val="ECHR_A1_Style_Numbered_List"/>
    <w:basedOn w:val="Aucuneliste"/>
    <w:rsid w:val="008754AB"/>
    <w:pPr>
      <w:numPr>
        <w:numId w:val="5"/>
      </w:numPr>
    </w:pPr>
  </w:style>
  <w:style w:type="character" w:styleId="lev">
    <w:name w:val="Strong"/>
    <w:uiPriority w:val="99"/>
    <w:semiHidden/>
    <w:qFormat/>
    <w:rsid w:val="00941747"/>
    <w:rPr>
      <w:b/>
      <w:bCs/>
    </w:rPr>
  </w:style>
  <w:style w:type="paragraph" w:styleId="Sansinterligne">
    <w:name w:val="No Spacing"/>
    <w:basedOn w:val="Normal"/>
    <w:link w:val="SansinterligneCar"/>
    <w:semiHidden/>
    <w:qFormat/>
    <w:rsid w:val="00941747"/>
  </w:style>
  <w:style w:type="character" w:customStyle="1" w:styleId="SansinterligneCar">
    <w:name w:val="Sans interligne Car"/>
    <w:basedOn w:val="Policepardfaut"/>
    <w:link w:val="Sansinterligne"/>
    <w:semiHidden/>
    <w:rsid w:val="00AE0A2E"/>
    <w:rPr>
      <w:rFonts w:eastAsiaTheme="minorEastAsia"/>
    </w:rPr>
  </w:style>
  <w:style w:type="paragraph" w:customStyle="1" w:styleId="ECHRBullet1">
    <w:name w:val="ECHR_Bullet_1"/>
    <w:aliases w:val="Bul_1"/>
    <w:basedOn w:val="NormalJustified"/>
    <w:uiPriority w:val="8"/>
    <w:qFormat/>
    <w:rsid w:val="002C0692"/>
    <w:pPr>
      <w:numPr>
        <w:numId w:val="6"/>
      </w:numPr>
      <w:spacing w:before="60" w:after="60"/>
    </w:pPr>
    <w:rPr>
      <w:rFonts w:eastAsiaTheme="minorEastAsia"/>
    </w:rPr>
  </w:style>
  <w:style w:type="paragraph" w:customStyle="1" w:styleId="ECHRBullet2">
    <w:name w:val="ECHR_Bullet_2"/>
    <w:aliases w:val="Bul_2"/>
    <w:basedOn w:val="ECHRBullet1"/>
    <w:uiPriority w:val="8"/>
    <w:rsid w:val="00233CF8"/>
    <w:pPr>
      <w:numPr>
        <w:ilvl w:val="1"/>
      </w:numPr>
    </w:pPr>
  </w:style>
  <w:style w:type="paragraph" w:customStyle="1" w:styleId="ECHRBullet3">
    <w:name w:val="ECHR_Bullet_3"/>
    <w:aliases w:val="Bul_3"/>
    <w:basedOn w:val="ECHRBullet2"/>
    <w:uiPriority w:val="8"/>
    <w:rsid w:val="008754AB"/>
    <w:pPr>
      <w:numPr>
        <w:ilvl w:val="2"/>
      </w:numPr>
    </w:pPr>
  </w:style>
  <w:style w:type="paragraph" w:customStyle="1" w:styleId="ECHRBullet4">
    <w:name w:val="ECHR_Bullet_4"/>
    <w:aliases w:val="Bul_4"/>
    <w:basedOn w:val="ECHRBullet3"/>
    <w:uiPriority w:val="8"/>
    <w:rsid w:val="008754AB"/>
    <w:pPr>
      <w:numPr>
        <w:ilvl w:val="3"/>
      </w:numPr>
    </w:pPr>
  </w:style>
  <w:style w:type="paragraph" w:customStyle="1" w:styleId="ECHRNumberedList1">
    <w:name w:val="ECHR_Numbered_List_1"/>
    <w:aliases w:val="Num_1"/>
    <w:basedOn w:val="Normal"/>
    <w:uiPriority w:val="9"/>
    <w:qFormat/>
    <w:rsid w:val="002C0692"/>
    <w:pPr>
      <w:numPr>
        <w:numId w:val="7"/>
      </w:numPr>
      <w:spacing w:before="60" w:after="60"/>
    </w:pPr>
    <w:rPr>
      <w:rFonts w:eastAsiaTheme="minorEastAsia"/>
    </w:rPr>
  </w:style>
  <w:style w:type="paragraph" w:customStyle="1" w:styleId="ECHRNumberedList2">
    <w:name w:val="ECHR_Numbered_List_2"/>
    <w:aliases w:val="Num_2"/>
    <w:basedOn w:val="ECHRNumberedList1"/>
    <w:uiPriority w:val="9"/>
    <w:rsid w:val="002C0692"/>
    <w:pPr>
      <w:numPr>
        <w:ilvl w:val="1"/>
      </w:numPr>
    </w:pPr>
  </w:style>
  <w:style w:type="paragraph" w:customStyle="1" w:styleId="ECHRNumberedList3">
    <w:name w:val="ECHR_Numbered_List_3"/>
    <w:aliases w:val="Num_3"/>
    <w:basedOn w:val="ECHRNumberedList2"/>
    <w:uiPriority w:val="9"/>
    <w:rsid w:val="008754AB"/>
    <w:pPr>
      <w:numPr>
        <w:ilvl w:val="2"/>
      </w:numPr>
    </w:pPr>
  </w:style>
  <w:style w:type="paragraph" w:customStyle="1" w:styleId="ECHRHeader">
    <w:name w:val="ECHR_Header"/>
    <w:aliases w:val="Top_Header"/>
    <w:basedOn w:val="En-tte"/>
    <w:uiPriority w:val="39"/>
    <w:rsid w:val="003D0299"/>
    <w:rPr>
      <w:sz w:val="8"/>
    </w:rPr>
  </w:style>
  <w:style w:type="paragraph" w:customStyle="1" w:styleId="ECHRFooter">
    <w:name w:val="ECHR_Footer"/>
    <w:aliases w:val="Footer_ECHR"/>
    <w:basedOn w:val="Pieddepage"/>
    <w:uiPriority w:val="40"/>
    <w:rsid w:val="003D0299"/>
    <w:rPr>
      <w:sz w:val="8"/>
    </w:rPr>
  </w:style>
  <w:style w:type="paragraph" w:customStyle="1" w:styleId="ECHRCoverTitle1">
    <w:name w:val="ECHR_Cover_Title_1"/>
    <w:aliases w:val="Cover_1"/>
    <w:basedOn w:val="Normal"/>
    <w:next w:val="ECHRCoverTitle2"/>
    <w:uiPriority w:val="24"/>
    <w:qFormat/>
    <w:rsid w:val="00511C07"/>
    <w:pPr>
      <w:spacing w:before="840"/>
      <w:contextualSpacing/>
      <w:jc w:val="center"/>
    </w:pPr>
    <w:rPr>
      <w:color w:val="2F2F2F" w:themeColor="accent3" w:themeShade="80"/>
      <w:sz w:val="36"/>
    </w:rPr>
  </w:style>
  <w:style w:type="paragraph" w:customStyle="1" w:styleId="ECHRCoverTitle2">
    <w:name w:val="ECHR_Cover_Title_2"/>
    <w:aliases w:val="Cover_2"/>
    <w:basedOn w:val="Normal"/>
    <w:next w:val="ECHRCoverTitle3"/>
    <w:uiPriority w:val="24"/>
    <w:qFormat/>
    <w:rsid w:val="00511C07"/>
    <w:pPr>
      <w:spacing w:before="600"/>
      <w:contextualSpacing/>
      <w:jc w:val="center"/>
    </w:pPr>
    <w:rPr>
      <w:rFonts w:asciiTheme="majorHAnsi" w:hAnsiTheme="majorHAnsi"/>
      <w:color w:val="474747" w:themeColor="accent3" w:themeShade="BF"/>
      <w:sz w:val="28"/>
    </w:rPr>
  </w:style>
  <w:style w:type="paragraph" w:styleId="Titre">
    <w:name w:val="Title"/>
    <w:basedOn w:val="Normal"/>
    <w:next w:val="Normal"/>
    <w:link w:val="TitreCar"/>
    <w:uiPriority w:val="99"/>
    <w:semiHidden/>
    <w:qFormat/>
    <w:rsid w:val="00941747"/>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reCar">
    <w:name w:val="Titre Car"/>
    <w:basedOn w:val="Policepardfaut"/>
    <w:link w:val="Titre"/>
    <w:uiPriority w:val="99"/>
    <w:semiHidden/>
    <w:rsid w:val="00A671F8"/>
    <w:rPr>
      <w:rFonts w:asciiTheme="majorHAnsi" w:eastAsiaTheme="majorEastAsia" w:hAnsiTheme="majorHAnsi" w:cstheme="majorBidi"/>
      <w:spacing w:val="5"/>
      <w:sz w:val="52"/>
      <w:szCs w:val="52"/>
      <w:lang w:bidi="en-US"/>
    </w:rPr>
  </w:style>
  <w:style w:type="paragraph" w:customStyle="1" w:styleId="ECHRCoverTitle3">
    <w:name w:val="ECHR_Cover_Title_3"/>
    <w:aliases w:val="Cover_3"/>
    <w:basedOn w:val="Normal"/>
    <w:next w:val="Normal"/>
    <w:uiPriority w:val="24"/>
    <w:qFormat/>
    <w:rsid w:val="00A66617"/>
    <w:pPr>
      <w:spacing w:before="1080" w:after="1080"/>
      <w:contextualSpacing/>
      <w:jc w:val="center"/>
    </w:pPr>
    <w:rPr>
      <w:b/>
      <w:color w:val="474747" w:themeColor="accent3" w:themeShade="BF"/>
      <w:sz w:val="24"/>
    </w:rPr>
  </w:style>
  <w:style w:type="paragraph" w:customStyle="1" w:styleId="ECHRTitle2">
    <w:name w:val="ECHR_Title_2"/>
    <w:aliases w:val="Title_L_2"/>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8"/>
    </w:rPr>
  </w:style>
  <w:style w:type="paragraph" w:customStyle="1" w:styleId="ECHRTitleCentre3">
    <w:name w:val="ECHR_Title_Centre_3"/>
    <w:aliases w:val="Title_C_3"/>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4"/>
    </w:rPr>
  </w:style>
  <w:style w:type="paragraph" w:customStyle="1" w:styleId="ECHRTitle3">
    <w:name w:val="ECHR_Title_3"/>
    <w:aliases w:val="Title_L_3"/>
    <w:basedOn w:val="Normal"/>
    <w:next w:val="ECHRParaSpaced"/>
    <w:uiPriority w:val="20"/>
    <w:qFormat/>
    <w:rsid w:val="00EB14E4"/>
    <w:pPr>
      <w:keepNext/>
      <w:keepLines/>
      <w:spacing w:before="240"/>
      <w:contextualSpacing/>
    </w:pPr>
    <w:rPr>
      <w:rFonts w:asciiTheme="majorHAnsi" w:hAnsiTheme="majorHAnsi"/>
      <w:b/>
      <w:color w:val="474747" w:themeColor="accent3" w:themeShade="BF"/>
      <w:sz w:val="24"/>
    </w:rPr>
  </w:style>
  <w:style w:type="paragraph" w:customStyle="1" w:styleId="ECHRDivisionName">
    <w:name w:val="ECHR_DivisionName"/>
    <w:aliases w:val="Div_Name"/>
    <w:basedOn w:val="Normal"/>
    <w:link w:val="ECHRDivisionNameChar"/>
    <w:uiPriority w:val="29"/>
    <w:qFormat/>
    <w:rsid w:val="00E07DA1"/>
    <w:rPr>
      <w:b/>
      <w:color w:val="0072BC" w:themeColor="accent1"/>
    </w:rPr>
  </w:style>
  <w:style w:type="character" w:customStyle="1" w:styleId="ECHRDivisionNameChar">
    <w:name w:val="ECHR_DivisionName Char"/>
    <w:aliases w:val="Div_Name Char"/>
    <w:basedOn w:val="Policepardfaut"/>
    <w:link w:val="ECHRDivisionName"/>
    <w:uiPriority w:val="29"/>
    <w:rsid w:val="008D4752"/>
    <w:rPr>
      <w:b/>
      <w:color w:val="0072BC" w:themeColor="accent1"/>
    </w:rPr>
  </w:style>
  <w:style w:type="paragraph" w:customStyle="1" w:styleId="ECHRParaSpaced">
    <w:name w:val="ECHR_Para_Spaced"/>
    <w:aliases w:val="Para_Spaced"/>
    <w:basedOn w:val="ECHRPara"/>
    <w:uiPriority w:val="5"/>
    <w:qFormat/>
    <w:rsid w:val="002D24BB"/>
    <w:pPr>
      <w:spacing w:before="120" w:after="120"/>
    </w:pPr>
  </w:style>
  <w:style w:type="paragraph" w:customStyle="1" w:styleId="ECHRFooterLine">
    <w:name w:val="ECHR_Footer_Line"/>
    <w:aliases w:val="Footer_Line"/>
    <w:basedOn w:val="Normal"/>
    <w:next w:val="ECHRPara"/>
    <w:uiPriority w:val="41"/>
    <w:rsid w:val="000A2FD0"/>
    <w:pPr>
      <w:pBdr>
        <w:top w:val="single" w:sz="8" w:space="1" w:color="7F7F7F" w:themeColor="text1" w:themeTint="80"/>
      </w:pBdr>
      <w:tabs>
        <w:tab w:val="center" w:pos="4536"/>
        <w:tab w:val="right" w:pos="9696"/>
      </w:tabs>
      <w:ind w:left="-680" w:right="-680"/>
    </w:pPr>
    <w:rPr>
      <w:color w:val="474747" w:themeColor="accent3" w:themeShade="BF"/>
    </w:rPr>
  </w:style>
  <w:style w:type="paragraph" w:styleId="En-tte">
    <w:name w:val="header"/>
    <w:basedOn w:val="Normal"/>
    <w:link w:val="En-tteCar"/>
    <w:uiPriority w:val="48"/>
    <w:semiHidden/>
    <w:rsid w:val="00941747"/>
    <w:pPr>
      <w:tabs>
        <w:tab w:val="center" w:pos="4536"/>
        <w:tab w:val="right" w:pos="9696"/>
      </w:tabs>
      <w:ind w:left="-680" w:right="-680"/>
    </w:pPr>
  </w:style>
  <w:style w:type="character" w:customStyle="1" w:styleId="En-tteCar">
    <w:name w:val="En-tête Car"/>
    <w:basedOn w:val="Policepardfaut"/>
    <w:link w:val="En-tte"/>
    <w:uiPriority w:val="48"/>
    <w:semiHidden/>
    <w:rsid w:val="008D4752"/>
  </w:style>
  <w:style w:type="character" w:customStyle="1" w:styleId="Titre1Car">
    <w:name w:val="Titre 1 Car"/>
    <w:basedOn w:val="Policepardfaut"/>
    <w:link w:val="Titre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Head_1"/>
    <w:basedOn w:val="Titre1"/>
    <w:next w:val="ECHRParaSpaced"/>
    <w:uiPriority w:val="14"/>
    <w:qFormat/>
    <w:rsid w:val="00E20E13"/>
    <w:pPr>
      <w:keepNext/>
      <w:keepLines/>
      <w:pBdr>
        <w:bottom w:val="single" w:sz="12" w:space="1" w:color="949494" w:themeColor="text2" w:themeShade="BF"/>
      </w:pBdr>
      <w:spacing w:before="240"/>
    </w:pPr>
    <w:rPr>
      <w:bCs w:val="0"/>
      <w:color w:val="2F2F2F" w:themeColor="accent3" w:themeShade="80"/>
    </w:rPr>
  </w:style>
  <w:style w:type="paragraph" w:customStyle="1" w:styleId="ECHRHeading2">
    <w:name w:val="ECHR_Heading_2"/>
    <w:aliases w:val="Head_2"/>
    <w:basedOn w:val="Titre2"/>
    <w:next w:val="ECHRParaSpaced"/>
    <w:uiPriority w:val="14"/>
    <w:qFormat/>
    <w:rsid w:val="00E20E13"/>
    <w:pPr>
      <w:keepNext/>
      <w:keepLines/>
      <w:spacing w:before="240"/>
      <w:contextualSpacing/>
    </w:pPr>
    <w:rPr>
      <w:bCs w:val="0"/>
      <w:color w:val="2F2F2F" w:themeColor="accent3" w:themeShade="80"/>
      <w:sz w:val="28"/>
    </w:rPr>
  </w:style>
  <w:style w:type="character" w:customStyle="1" w:styleId="Titre2Car">
    <w:name w:val="Titre 2 Car"/>
    <w:basedOn w:val="Policepardfaut"/>
    <w:link w:val="Titre2"/>
    <w:uiPriority w:val="99"/>
    <w:semiHidden/>
    <w:rsid w:val="00A671F8"/>
    <w:rPr>
      <w:rFonts w:asciiTheme="majorHAnsi" w:eastAsiaTheme="majorEastAsia" w:hAnsiTheme="majorHAnsi" w:cstheme="majorBidi"/>
      <w:b/>
      <w:bCs/>
      <w:color w:val="4D4D4D"/>
      <w:sz w:val="26"/>
      <w:szCs w:val="26"/>
    </w:rPr>
  </w:style>
  <w:style w:type="paragraph" w:customStyle="1" w:styleId="ECHRHeading3">
    <w:name w:val="ECHR_Heading_3"/>
    <w:aliases w:val="Head_3"/>
    <w:basedOn w:val="Titre3"/>
    <w:next w:val="ECHRParaSpaced"/>
    <w:uiPriority w:val="14"/>
    <w:qFormat/>
    <w:rsid w:val="00E20E13"/>
    <w:pPr>
      <w:keepNext/>
      <w:keepLines/>
      <w:spacing w:before="240" w:line="240" w:lineRule="auto"/>
      <w:contextualSpacing/>
    </w:pPr>
    <w:rPr>
      <w:bCs w:val="0"/>
      <w:color w:val="2F2F2F" w:themeColor="accent3" w:themeShade="80"/>
      <w:sz w:val="24"/>
    </w:rPr>
  </w:style>
  <w:style w:type="paragraph" w:customStyle="1" w:styleId="ECHRHeading4">
    <w:name w:val="ECHR_Heading_4"/>
    <w:aliases w:val="Head_4"/>
    <w:basedOn w:val="Titre4"/>
    <w:next w:val="ECHRParaSpaced"/>
    <w:uiPriority w:val="14"/>
    <w:qFormat/>
    <w:rsid w:val="00E20E13"/>
    <w:pPr>
      <w:keepNext/>
      <w:keepLines/>
      <w:spacing w:before="240"/>
      <w:contextualSpacing/>
    </w:pPr>
    <w:rPr>
      <w:bCs w:val="0"/>
      <w:i w:val="0"/>
      <w:iCs w:val="0"/>
      <w:color w:val="5F5F5F" w:themeColor="accent3"/>
      <w:sz w:val="24"/>
    </w:rPr>
  </w:style>
  <w:style w:type="character" w:customStyle="1" w:styleId="Titre3Car">
    <w:name w:val="Titre 3 Car"/>
    <w:basedOn w:val="Policepardfaut"/>
    <w:link w:val="Titre3"/>
    <w:uiPriority w:val="99"/>
    <w:semiHidden/>
    <w:rsid w:val="00A671F8"/>
    <w:rPr>
      <w:rFonts w:asciiTheme="majorHAnsi" w:eastAsiaTheme="majorEastAsia" w:hAnsiTheme="majorHAnsi" w:cstheme="majorBidi"/>
      <w:b/>
      <w:bCs/>
      <w:color w:val="5F5F5F"/>
    </w:rPr>
  </w:style>
  <w:style w:type="paragraph" w:customStyle="1" w:styleId="ECHRHeading5">
    <w:name w:val="ECHR_Heading_5"/>
    <w:aliases w:val="Head_5"/>
    <w:basedOn w:val="Titre5"/>
    <w:next w:val="ECHRParaSpaced"/>
    <w:uiPriority w:val="14"/>
    <w:qFormat/>
    <w:rsid w:val="00427E7A"/>
    <w:pPr>
      <w:keepNext/>
      <w:keepLines/>
      <w:spacing w:before="240"/>
      <w:contextualSpacing/>
    </w:pPr>
    <w:rPr>
      <w:bCs w:val="0"/>
      <w:color w:val="5F5F5F" w:themeColor="accent3"/>
      <w:u w:val="single"/>
    </w:rPr>
  </w:style>
  <w:style w:type="paragraph" w:customStyle="1" w:styleId="ECHRHeading6">
    <w:name w:val="ECHR_Heading_6"/>
    <w:aliases w:val="Head_6"/>
    <w:basedOn w:val="Titre6"/>
    <w:next w:val="ECHRParaSpaced"/>
    <w:uiPriority w:val="14"/>
    <w:rsid w:val="00427E7A"/>
    <w:pPr>
      <w:keepNext/>
      <w:keepLines/>
      <w:spacing w:before="240" w:line="240" w:lineRule="auto"/>
      <w:contextualSpacing/>
    </w:pPr>
    <w:rPr>
      <w:color w:val="474747" w:themeColor="accent3" w:themeShade="BF"/>
      <w:sz w:val="20"/>
    </w:rPr>
  </w:style>
  <w:style w:type="character" w:customStyle="1" w:styleId="Titre4Car">
    <w:name w:val="Titre 4 Car"/>
    <w:basedOn w:val="Policepardfaut"/>
    <w:link w:val="Titre4"/>
    <w:uiPriority w:val="99"/>
    <w:semiHidden/>
    <w:rsid w:val="00A671F8"/>
    <w:rPr>
      <w:rFonts w:asciiTheme="majorHAnsi" w:eastAsiaTheme="majorEastAsia" w:hAnsiTheme="majorHAnsi" w:cstheme="majorBidi"/>
      <w:b/>
      <w:bCs/>
      <w:i/>
      <w:iCs/>
      <w:color w:val="777777"/>
    </w:rPr>
  </w:style>
  <w:style w:type="paragraph" w:customStyle="1" w:styleId="ECHRHeading7">
    <w:name w:val="ECHR_Heading_7"/>
    <w:aliases w:val="Head_7"/>
    <w:basedOn w:val="Titre7"/>
    <w:next w:val="ECHRParaSpaced"/>
    <w:uiPriority w:val="14"/>
    <w:rsid w:val="00427E7A"/>
    <w:pPr>
      <w:keepNext/>
      <w:keepLines/>
      <w:spacing w:before="240"/>
      <w:contextualSpacing/>
    </w:pPr>
    <w:rPr>
      <w:b/>
      <w:i w:val="0"/>
      <w:color w:val="474747" w:themeColor="accent3" w:themeShade="BF"/>
      <w:sz w:val="20"/>
    </w:rPr>
  </w:style>
  <w:style w:type="character" w:customStyle="1" w:styleId="Titre5Car">
    <w:name w:val="Titre 5 Car"/>
    <w:basedOn w:val="Policepardfaut"/>
    <w:link w:val="Titre5"/>
    <w:uiPriority w:val="99"/>
    <w:semiHidden/>
    <w:rsid w:val="00A671F8"/>
    <w:rPr>
      <w:rFonts w:asciiTheme="majorHAnsi" w:eastAsiaTheme="majorEastAsia" w:hAnsiTheme="majorHAnsi" w:cstheme="majorBidi"/>
      <w:b/>
      <w:bCs/>
      <w:color w:val="808080"/>
    </w:rPr>
  </w:style>
  <w:style w:type="paragraph" w:customStyle="1" w:styleId="ECHRHeaderDate">
    <w:name w:val="ECHR_Header_Date"/>
    <w:aliases w:val="Ref_Date"/>
    <w:basedOn w:val="Normal"/>
    <w:uiPriority w:val="32"/>
    <w:qFormat/>
    <w:rsid w:val="00E07DA1"/>
    <w:pPr>
      <w:jc w:val="right"/>
    </w:pPr>
    <w:rPr>
      <w:sz w:val="20"/>
    </w:rPr>
  </w:style>
  <w:style w:type="paragraph" w:customStyle="1" w:styleId="ECHRHeaderRefIt">
    <w:name w:val="ECHR_Header_Ref_It"/>
    <w:aliases w:val="Ref_Ital"/>
    <w:basedOn w:val="Normal"/>
    <w:next w:val="ECHRHeaderDate"/>
    <w:uiPriority w:val="31"/>
    <w:qFormat/>
    <w:rsid w:val="00E07DA1"/>
    <w:pPr>
      <w:jc w:val="right"/>
    </w:pPr>
    <w:rPr>
      <w:i/>
      <w:sz w:val="20"/>
    </w:rPr>
  </w:style>
  <w:style w:type="character" w:styleId="Emphaseple">
    <w:name w:val="Subtle Emphasis"/>
    <w:uiPriority w:val="99"/>
    <w:semiHidden/>
    <w:qFormat/>
    <w:rsid w:val="00941747"/>
    <w:rPr>
      <w:i/>
      <w:iCs/>
    </w:rPr>
  </w:style>
  <w:style w:type="character" w:customStyle="1" w:styleId="ECHRRed">
    <w:name w:val="ECHR_Red"/>
    <w:aliases w:val="Red"/>
    <w:basedOn w:val="Policepardfaut"/>
    <w:uiPriority w:val="13"/>
    <w:qFormat/>
    <w:rsid w:val="00941747"/>
    <w:rPr>
      <w:color w:val="C00000" w:themeColor="accent2"/>
    </w:rPr>
  </w:style>
  <w:style w:type="table" w:customStyle="1" w:styleId="ECHRTable">
    <w:name w:val="ECHR_Table"/>
    <w:basedOn w:val="Tableau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au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Title_L_1"/>
    <w:basedOn w:val="Normal"/>
    <w:next w:val="ECHRParaSpaced"/>
    <w:uiPriority w:val="20"/>
    <w:qFormat/>
    <w:rsid w:val="00EB14E4"/>
    <w:pPr>
      <w:keepNext/>
      <w:keepLines/>
      <w:spacing w:before="240"/>
      <w:contextualSpacing/>
    </w:pPr>
    <w:rPr>
      <w:rFonts w:asciiTheme="majorHAnsi" w:hAnsiTheme="majorHAnsi"/>
      <w:b/>
      <w:color w:val="2F2F2F" w:themeColor="accent3" w:themeShade="80"/>
      <w:sz w:val="32"/>
    </w:rPr>
  </w:style>
  <w:style w:type="paragraph" w:customStyle="1" w:styleId="ECHRConfidential">
    <w:name w:val="ECHR_Confidential"/>
    <w:aliases w:val="Confidential"/>
    <w:basedOn w:val="ECHRPara"/>
    <w:next w:val="ECHRPara"/>
    <w:uiPriority w:val="30"/>
    <w:qFormat/>
    <w:rsid w:val="00805E52"/>
    <w:pPr>
      <w:jc w:val="right"/>
    </w:pPr>
    <w:rPr>
      <w:color w:val="C00000"/>
      <w:sz w:val="20"/>
    </w:rPr>
  </w:style>
  <w:style w:type="paragraph" w:customStyle="1" w:styleId="ECHRTitleCentre2">
    <w:name w:val="ECHR_Title_Centre_2"/>
    <w:aliases w:val="Title_C_2"/>
    <w:basedOn w:val="Normal"/>
    <w:next w:val="ECHRParaSpaced"/>
    <w:uiPriority w:val="17"/>
    <w:qFormat/>
    <w:rsid w:val="00EB14E4"/>
    <w:pPr>
      <w:keepNext/>
      <w:keepLines/>
      <w:spacing w:before="240"/>
      <w:contextualSpacing/>
      <w:jc w:val="center"/>
    </w:pPr>
    <w:rPr>
      <w:rFonts w:asciiTheme="majorHAnsi" w:hAnsiTheme="majorHAnsi"/>
      <w:b/>
      <w:color w:val="474747" w:themeColor="accent3" w:themeShade="BF"/>
      <w:sz w:val="28"/>
    </w:rPr>
  </w:style>
  <w:style w:type="character" w:styleId="Accentuation">
    <w:name w:val="Emphasis"/>
    <w:uiPriority w:val="99"/>
    <w:semiHidden/>
    <w:qFormat/>
    <w:rsid w:val="00941747"/>
    <w:rPr>
      <w:b/>
      <w:bCs/>
      <w:i/>
      <w:iCs/>
      <w:spacing w:val="10"/>
      <w:bdr w:val="none" w:sz="0" w:space="0" w:color="auto"/>
      <w:shd w:val="clear" w:color="auto" w:fill="auto"/>
    </w:rPr>
  </w:style>
  <w:style w:type="paragraph" w:styleId="Pieddepage">
    <w:name w:val="footer"/>
    <w:basedOn w:val="Normal"/>
    <w:link w:val="PieddepageCar"/>
    <w:uiPriority w:val="49"/>
    <w:semiHidden/>
    <w:rsid w:val="00941747"/>
    <w:pPr>
      <w:tabs>
        <w:tab w:val="center" w:pos="4536"/>
        <w:tab w:val="right" w:pos="9696"/>
      </w:tabs>
      <w:ind w:left="-680" w:right="-680"/>
    </w:pPr>
  </w:style>
  <w:style w:type="character" w:customStyle="1" w:styleId="PieddepageCar">
    <w:name w:val="Pied de page Car"/>
    <w:basedOn w:val="Policepardfaut"/>
    <w:link w:val="Pieddepage"/>
    <w:uiPriority w:val="49"/>
    <w:semiHidden/>
    <w:rsid w:val="008D4752"/>
  </w:style>
  <w:style w:type="character" w:styleId="Appelnotedebasdep">
    <w:name w:val="footnote reference"/>
    <w:basedOn w:val="Policepardfaut"/>
    <w:uiPriority w:val="99"/>
    <w:semiHidden/>
    <w:rsid w:val="00941747"/>
    <w:rPr>
      <w:vertAlign w:val="superscript"/>
    </w:rPr>
  </w:style>
  <w:style w:type="paragraph" w:styleId="Notedebasdepage">
    <w:name w:val="footnote text"/>
    <w:basedOn w:val="NormalJustified"/>
    <w:link w:val="NotedebasdepageCar"/>
    <w:uiPriority w:val="99"/>
    <w:semiHidden/>
    <w:rsid w:val="00941747"/>
    <w:rPr>
      <w:sz w:val="20"/>
      <w:szCs w:val="20"/>
    </w:rPr>
  </w:style>
  <w:style w:type="character" w:customStyle="1" w:styleId="NotedebasdepageCar">
    <w:name w:val="Note de bas de page Car"/>
    <w:basedOn w:val="Policepardfaut"/>
    <w:link w:val="Notedebasdepage"/>
    <w:uiPriority w:val="99"/>
    <w:semiHidden/>
    <w:rsid w:val="00E07BC4"/>
    <w:rPr>
      <w:sz w:val="20"/>
      <w:szCs w:val="20"/>
    </w:rPr>
  </w:style>
  <w:style w:type="character" w:customStyle="1" w:styleId="Titre6Car">
    <w:name w:val="Titre 6 Car"/>
    <w:basedOn w:val="Policepardfaut"/>
    <w:link w:val="Titre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Titre7Car">
    <w:name w:val="Titre 7 Car"/>
    <w:basedOn w:val="Policepardfaut"/>
    <w:link w:val="Titre7"/>
    <w:uiPriority w:val="99"/>
    <w:semiHidden/>
    <w:rsid w:val="00A671F8"/>
    <w:rPr>
      <w:rFonts w:asciiTheme="majorHAnsi" w:eastAsiaTheme="majorEastAsia" w:hAnsiTheme="majorHAnsi" w:cstheme="majorBidi"/>
      <w:i/>
      <w:iCs/>
      <w:lang w:bidi="en-US"/>
    </w:rPr>
  </w:style>
  <w:style w:type="character" w:customStyle="1" w:styleId="Titre8Car">
    <w:name w:val="Titre 8 Car"/>
    <w:basedOn w:val="Policepardfaut"/>
    <w:link w:val="Titre8"/>
    <w:uiPriority w:val="99"/>
    <w:semiHidden/>
    <w:rsid w:val="00A671F8"/>
    <w:rPr>
      <w:rFonts w:asciiTheme="majorHAnsi" w:eastAsiaTheme="majorEastAsia" w:hAnsiTheme="majorHAnsi" w:cstheme="majorBidi"/>
      <w:sz w:val="20"/>
      <w:szCs w:val="20"/>
      <w:lang w:bidi="en-US"/>
    </w:rPr>
  </w:style>
  <w:style w:type="character" w:customStyle="1" w:styleId="Titre9Car">
    <w:name w:val="Titre 9 Car"/>
    <w:basedOn w:val="Policepardfaut"/>
    <w:link w:val="Titre9"/>
    <w:uiPriority w:val="99"/>
    <w:semiHidden/>
    <w:rsid w:val="00A671F8"/>
    <w:rPr>
      <w:rFonts w:asciiTheme="majorHAnsi" w:eastAsiaTheme="majorEastAsia" w:hAnsiTheme="majorHAnsi" w:cstheme="majorBidi"/>
      <w:i/>
      <w:iCs/>
      <w:spacing w:val="5"/>
      <w:sz w:val="20"/>
      <w:szCs w:val="20"/>
      <w:lang w:bidi="en-US"/>
    </w:rPr>
  </w:style>
  <w:style w:type="character" w:styleId="Lienhypertexte">
    <w:name w:val="Hyperlink"/>
    <w:basedOn w:val="Policepardfaut"/>
    <w:uiPriority w:val="99"/>
    <w:semiHidden/>
    <w:rsid w:val="00941747"/>
    <w:rPr>
      <w:color w:val="0072BC" w:themeColor="hyperlink"/>
      <w:u w:val="single"/>
    </w:rPr>
  </w:style>
  <w:style w:type="character" w:styleId="Emphaseintense">
    <w:name w:val="Intense Emphasis"/>
    <w:uiPriority w:val="99"/>
    <w:semiHidden/>
    <w:qFormat/>
    <w:rsid w:val="00941747"/>
    <w:rPr>
      <w:b/>
      <w:bCs/>
    </w:rPr>
  </w:style>
  <w:style w:type="paragraph" w:styleId="Citationintense">
    <w:name w:val="Intense Quote"/>
    <w:basedOn w:val="Normal"/>
    <w:next w:val="Normal"/>
    <w:link w:val="CitationintenseCar"/>
    <w:uiPriority w:val="99"/>
    <w:semiHidden/>
    <w:qFormat/>
    <w:rsid w:val="00941747"/>
    <w:pPr>
      <w:pBdr>
        <w:bottom w:val="single" w:sz="4" w:space="1" w:color="auto"/>
      </w:pBdr>
      <w:spacing w:before="200" w:after="280"/>
      <w:ind w:left="1008" w:right="1152"/>
    </w:pPr>
    <w:rPr>
      <w:b/>
      <w:bCs/>
      <w:i/>
      <w:iCs/>
      <w:lang w:bidi="en-US"/>
    </w:rPr>
  </w:style>
  <w:style w:type="character" w:customStyle="1" w:styleId="CitationintenseCar">
    <w:name w:val="Citation intense Car"/>
    <w:basedOn w:val="Policepardfaut"/>
    <w:link w:val="Citationintense"/>
    <w:uiPriority w:val="99"/>
    <w:semiHidden/>
    <w:rsid w:val="00A671F8"/>
    <w:rPr>
      <w:rFonts w:eastAsiaTheme="minorEastAsia"/>
      <w:b/>
      <w:bCs/>
      <w:i/>
      <w:iCs/>
      <w:lang w:bidi="en-US"/>
    </w:rPr>
  </w:style>
  <w:style w:type="character" w:styleId="Rfrenceintense">
    <w:name w:val="Intense Reference"/>
    <w:uiPriority w:val="99"/>
    <w:semiHidden/>
    <w:qFormat/>
    <w:rsid w:val="00941747"/>
    <w:rPr>
      <w:smallCaps/>
      <w:spacing w:val="5"/>
      <w:u w:val="single"/>
    </w:rPr>
  </w:style>
  <w:style w:type="paragraph" w:styleId="Paragraphedeliste">
    <w:name w:val="List Paragraph"/>
    <w:basedOn w:val="Normal"/>
    <w:uiPriority w:val="99"/>
    <w:semiHidden/>
    <w:qFormat/>
    <w:rsid w:val="00941747"/>
    <w:pPr>
      <w:ind w:left="720"/>
      <w:contextualSpacing/>
    </w:pPr>
  </w:style>
  <w:style w:type="table" w:customStyle="1" w:styleId="LtrTableAddress">
    <w:name w:val="Ltr_Table_Address"/>
    <w:basedOn w:val="TableauNormal"/>
    <w:uiPriority w:val="99"/>
    <w:rsid w:val="001E6F32"/>
    <w:tblPr>
      <w:tblInd w:w="5103" w:type="dxa"/>
    </w:tblPr>
  </w:style>
  <w:style w:type="paragraph" w:styleId="Citation">
    <w:name w:val="Quote"/>
    <w:basedOn w:val="Normal"/>
    <w:next w:val="Normal"/>
    <w:link w:val="CitationCar"/>
    <w:uiPriority w:val="99"/>
    <w:semiHidden/>
    <w:qFormat/>
    <w:rsid w:val="00941747"/>
    <w:pPr>
      <w:spacing w:before="200"/>
      <w:ind w:left="360" w:right="360"/>
    </w:pPr>
    <w:rPr>
      <w:i/>
      <w:iCs/>
      <w:lang w:bidi="en-US"/>
    </w:rPr>
  </w:style>
  <w:style w:type="character" w:customStyle="1" w:styleId="CitationCar">
    <w:name w:val="Citation Car"/>
    <w:basedOn w:val="Policepardfaut"/>
    <w:link w:val="Citation"/>
    <w:uiPriority w:val="99"/>
    <w:semiHidden/>
    <w:rsid w:val="00A671F8"/>
    <w:rPr>
      <w:rFonts w:eastAsiaTheme="minorEastAsia"/>
      <w:i/>
      <w:iCs/>
      <w:lang w:bidi="en-US"/>
    </w:rPr>
  </w:style>
  <w:style w:type="character" w:styleId="Rfrenceple">
    <w:name w:val="Subtle Reference"/>
    <w:uiPriority w:val="99"/>
    <w:semiHidden/>
    <w:qFormat/>
    <w:rsid w:val="00941747"/>
    <w:rPr>
      <w:smallCaps/>
    </w:rPr>
  </w:style>
  <w:style w:type="table" w:styleId="Grilledutableau">
    <w:name w:val="Table Grid"/>
    <w:basedOn w:val="TableauNormal"/>
    <w:uiPriority w:val="59"/>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M2">
    <w:name w:val="toc 2"/>
    <w:basedOn w:val="Normal"/>
    <w:next w:val="Normal"/>
    <w:autoRedefine/>
    <w:uiPriority w:val="99"/>
    <w:semiHidden/>
    <w:rsid w:val="00EA185E"/>
    <w:pPr>
      <w:spacing w:after="60"/>
      <w:ind w:left="680" w:right="340" w:hanging="340"/>
    </w:pPr>
  </w:style>
  <w:style w:type="paragraph" w:styleId="TM3">
    <w:name w:val="toc 3"/>
    <w:basedOn w:val="Normal"/>
    <w:next w:val="Normal"/>
    <w:autoRedefine/>
    <w:uiPriority w:val="99"/>
    <w:semiHidden/>
    <w:rsid w:val="00EA185E"/>
    <w:pPr>
      <w:spacing w:after="60"/>
      <w:ind w:left="1020" w:right="340" w:hanging="340"/>
    </w:pPr>
  </w:style>
  <w:style w:type="paragraph" w:styleId="TM4">
    <w:name w:val="toc 4"/>
    <w:basedOn w:val="Normal"/>
    <w:next w:val="Normal"/>
    <w:autoRedefine/>
    <w:uiPriority w:val="99"/>
    <w:semiHidden/>
    <w:rsid w:val="00EA185E"/>
    <w:pPr>
      <w:tabs>
        <w:tab w:val="right" w:leader="dot" w:pos="9017"/>
      </w:tabs>
      <w:spacing w:after="60"/>
      <w:ind w:left="1361" w:right="340" w:hanging="340"/>
    </w:pPr>
  </w:style>
  <w:style w:type="paragraph" w:styleId="TM5">
    <w:name w:val="toc 5"/>
    <w:basedOn w:val="Normal"/>
    <w:next w:val="Normal"/>
    <w:autoRedefine/>
    <w:uiPriority w:val="99"/>
    <w:semiHidden/>
    <w:rsid w:val="00B46543"/>
    <w:pPr>
      <w:spacing w:after="60"/>
      <w:ind w:left="1701" w:right="340" w:hanging="340"/>
    </w:pPr>
  </w:style>
  <w:style w:type="paragraph" w:styleId="En-ttedetabledesmatires">
    <w:name w:val="TOC Heading"/>
    <w:basedOn w:val="ECHRTitleCentre2"/>
    <w:next w:val="Normal"/>
    <w:uiPriority w:val="99"/>
    <w:semiHidden/>
    <w:qFormat/>
    <w:rsid w:val="00E84AA5"/>
  </w:style>
  <w:style w:type="table" w:customStyle="1" w:styleId="UGTable">
    <w:name w:val="UG_Table"/>
    <w:basedOn w:val="Tableau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au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au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au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au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au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itreTR">
    <w:name w:val="toa heading"/>
    <w:basedOn w:val="ECHRTitleCentre2"/>
    <w:next w:val="Normal"/>
    <w:uiPriority w:val="99"/>
    <w:semiHidden/>
    <w:rsid w:val="0018068E"/>
    <w:rPr>
      <w:rFonts w:eastAsiaTheme="majorEastAsia" w:cstheme="majorBidi"/>
      <w:bCs/>
      <w:szCs w:val="24"/>
    </w:rPr>
  </w:style>
  <w:style w:type="paragraph" w:customStyle="1" w:styleId="ECHRList">
    <w:name w:val="ECHR_List"/>
    <w:aliases w:val="List_Simple"/>
    <w:basedOn w:val="Normal"/>
    <w:uiPriority w:val="10"/>
    <w:qFormat/>
    <w:rsid w:val="002D24BB"/>
    <w:pPr>
      <w:numPr>
        <w:numId w:val="1"/>
      </w:numPr>
    </w:pPr>
  </w:style>
  <w:style w:type="paragraph" w:customStyle="1" w:styleId="ECHRCoverTitle4">
    <w:name w:val="ECHR_Cover_Title_4"/>
    <w:aliases w:val="Cover_4"/>
    <w:basedOn w:val="Normal"/>
    <w:uiPriority w:val="24"/>
    <w:qFormat/>
    <w:rsid w:val="00AA3BC7"/>
    <w:pPr>
      <w:tabs>
        <w:tab w:val="right" w:pos="7938"/>
      </w:tabs>
      <w:spacing w:before="120" w:after="120"/>
      <w:ind w:left="1134" w:right="1134"/>
    </w:pPr>
    <w:rPr>
      <w:color w:val="2F2F2F" w:themeColor="accent3" w:themeShade="80"/>
    </w:rPr>
  </w:style>
  <w:style w:type="paragraph" w:customStyle="1" w:styleId="ECHRParaQuote">
    <w:name w:val="ECHR_Para_Quote"/>
    <w:aliases w:val="Para_Quote"/>
    <w:basedOn w:val="ECHRParaSpaced"/>
    <w:next w:val="ECHRParaSpaced"/>
    <w:uiPriority w:val="6"/>
    <w:qFormat/>
    <w:rsid w:val="00E20E13"/>
    <w:pPr>
      <w:ind w:left="567"/>
    </w:pPr>
    <w:rPr>
      <w:sz w:val="20"/>
    </w:rPr>
  </w:style>
  <w:style w:type="paragraph" w:customStyle="1" w:styleId="ECHRPara">
    <w:name w:val="ECHR_Para"/>
    <w:aliases w:val="Para"/>
    <w:basedOn w:val="NormalJustified"/>
    <w:uiPriority w:val="12"/>
    <w:qFormat/>
    <w:rsid w:val="002D24BB"/>
  </w:style>
  <w:style w:type="paragraph" w:customStyle="1" w:styleId="ECHRTitleCentre1">
    <w:name w:val="ECHR_Title_Centre_1"/>
    <w:aliases w:val="Title_C_1"/>
    <w:basedOn w:val="Normal"/>
    <w:next w:val="ECHRParaSpaced"/>
    <w:uiPriority w:val="17"/>
    <w:qFormat/>
    <w:rsid w:val="00EB14E4"/>
    <w:pPr>
      <w:keepNext/>
      <w:keepLines/>
      <w:spacing w:before="240"/>
      <w:contextualSpacing/>
      <w:jc w:val="center"/>
    </w:pPr>
    <w:rPr>
      <w:rFonts w:asciiTheme="majorHAnsi" w:hAnsiTheme="majorHAnsi"/>
      <w:b/>
      <w:color w:val="2F2F2F" w:themeColor="accent3" w:themeShade="80"/>
      <w:sz w:val="32"/>
    </w:rPr>
  </w:style>
  <w:style w:type="table" w:customStyle="1" w:styleId="ECHRTableSimpleBox">
    <w:name w:val="ECHR_Table_Simple_Box"/>
    <w:basedOn w:val="Tableau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au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customStyle="1" w:styleId="ECHRSpacer">
    <w:name w:val="ECHR_Spacer"/>
    <w:basedOn w:val="Normal"/>
    <w:uiPriority w:val="38"/>
    <w:rsid w:val="00463926"/>
    <w:rPr>
      <w:sz w:val="4"/>
    </w:rPr>
  </w:style>
  <w:style w:type="table" w:customStyle="1" w:styleId="ECHRTableForInternalUse">
    <w:name w:val="ECHR_Table_For_Internal_Use"/>
    <w:basedOn w:val="Tableau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au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ECHRFooterLineLandscape">
    <w:name w:val="ECHR_Footer_Line_Landscape"/>
    <w:aliases w:val="Footer_Line_Landscape"/>
    <w:basedOn w:val="ECHRFooterLine"/>
    <w:uiPriority w:val="42"/>
    <w:rsid w:val="006242CA"/>
    <w:pPr>
      <w:tabs>
        <w:tab w:val="clear" w:pos="4536"/>
        <w:tab w:val="clear" w:pos="9696"/>
        <w:tab w:val="center" w:pos="6787"/>
        <w:tab w:val="right" w:pos="14640"/>
      </w:tabs>
    </w:pPr>
  </w:style>
  <w:style w:type="paragraph" w:customStyle="1" w:styleId="ECHRHeaderLandscape">
    <w:name w:val="ECHR_Header_Landscape"/>
    <w:aliases w:val="Header_Landscape"/>
    <w:basedOn w:val="En-tte"/>
    <w:uiPriority w:val="39"/>
    <w:rsid w:val="0039364F"/>
    <w:pPr>
      <w:tabs>
        <w:tab w:val="clear" w:pos="4536"/>
        <w:tab w:val="clear" w:pos="9696"/>
        <w:tab w:val="center" w:pos="6787"/>
        <w:tab w:val="right" w:pos="14640"/>
      </w:tabs>
    </w:pPr>
  </w:style>
  <w:style w:type="table" w:customStyle="1" w:styleId="ECHRHeaderTable">
    <w:name w:val="ECHR_Header_Table"/>
    <w:basedOn w:val="TableauNormal"/>
    <w:uiPriority w:val="99"/>
    <w:rsid w:val="001C5B98"/>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right"/>
      </w:pPr>
    </w:tblStylePr>
  </w:style>
  <w:style w:type="paragraph" w:customStyle="1" w:styleId="ECHRLine">
    <w:name w:val="ECHR_Line"/>
    <w:basedOn w:val="NormalJustified"/>
    <w:next w:val="ECHRParaSpaced"/>
    <w:uiPriority w:val="15"/>
    <w:rsid w:val="00C74810"/>
    <w:pPr>
      <w:pBdr>
        <w:bottom w:val="single" w:sz="12" w:space="1" w:color="949494" w:themeColor="text2" w:themeShade="BF"/>
      </w:pBdr>
      <w:spacing w:after="120"/>
    </w:pPr>
    <w:rPr>
      <w:sz w:val="12"/>
    </w:rPr>
  </w:style>
  <w:style w:type="paragraph" w:customStyle="1" w:styleId="NormalJustified">
    <w:name w:val="Normal_Justified"/>
    <w:basedOn w:val="Normal"/>
    <w:semiHidden/>
    <w:rsid w:val="00E20E13"/>
    <w:pPr>
      <w:jc w:val="both"/>
    </w:pPr>
  </w:style>
  <w:style w:type="table" w:customStyle="1" w:styleId="ECHRTableOddBanded">
    <w:name w:val="ECHR_Table_Odd_Banded"/>
    <w:basedOn w:val="Tableau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basedOn w:val="NormalJustified"/>
    <w:uiPriority w:val="50"/>
    <w:semiHidden/>
    <w:rsid w:val="00CE0B0E"/>
    <w:pPr>
      <w:tabs>
        <w:tab w:val="left" w:pos="567"/>
        <w:tab w:val="left" w:pos="1134"/>
      </w:tabs>
      <w:spacing w:line="240" w:lineRule="exact"/>
      <w:jc w:val="left"/>
    </w:pPr>
    <w:rPr>
      <w:rFonts w:eastAsiaTheme="minorEastAsia"/>
    </w:rPr>
  </w:style>
  <w:style w:type="table" w:customStyle="1" w:styleId="ECHRHeaderTableReduced">
    <w:name w:val="ECHR_Header_Table_Reduced"/>
    <w:basedOn w:val="Tableau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ECHRTitleCentreTOC1">
    <w:name w:val="ECHR_Title_Centre_TOC_1"/>
    <w:aliases w:val="Title_C_TOC"/>
    <w:basedOn w:val="ECHRTitleCentre1"/>
    <w:next w:val="ECHRHeading1"/>
    <w:uiPriority w:val="16"/>
    <w:qFormat/>
    <w:rsid w:val="00F74BED"/>
    <w:pPr>
      <w:outlineLvl w:val="0"/>
    </w:pPr>
  </w:style>
  <w:style w:type="paragraph" w:customStyle="1" w:styleId="ECHRTitleTOC1">
    <w:name w:val="ECHR_Title_TOC_1"/>
    <w:aliases w:val="Title_L_TOC"/>
    <w:basedOn w:val="ECHRTitle1"/>
    <w:next w:val="ECHRHeading1"/>
    <w:uiPriority w:val="19"/>
    <w:qFormat/>
    <w:rsid w:val="00F74BED"/>
    <w:pPr>
      <w:outlineLvl w:val="0"/>
    </w:pPr>
  </w:style>
  <w:style w:type="paragraph" w:customStyle="1" w:styleId="DummyStyle">
    <w:name w:val="Dummy_Style"/>
    <w:basedOn w:val="Normal"/>
    <w:semiHidden/>
    <w:qFormat/>
    <w:rsid w:val="00E07BC4"/>
    <w:rPr>
      <w:color w:val="00B050"/>
    </w:rPr>
  </w:style>
  <w:style w:type="character" w:styleId="Textedelespacerserv">
    <w:name w:val="Placeholder Text"/>
    <w:basedOn w:val="Policepardfaut"/>
    <w:uiPriority w:val="99"/>
    <w:semiHidden/>
    <w:rsid w:val="0026599B"/>
    <w:rPr>
      <w:color w:val="auto"/>
      <w:bdr w:val="none" w:sz="0" w:space="0" w:color="auto"/>
      <w:shd w:val="clear" w:color="auto" w:fill="DFDFDF" w:themeFill="background2" w:themeFillShade="E6"/>
    </w:rPr>
  </w:style>
  <w:style w:type="paragraph" w:customStyle="1" w:styleId="JuPara">
    <w:name w:val="Ju_Para"/>
    <w:aliases w:val="Left,First line:  0 cm"/>
    <w:basedOn w:val="Normal"/>
    <w:link w:val="JuParaChar"/>
    <w:rsid w:val="00F65844"/>
    <w:pPr>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link w:val="JuPara"/>
    <w:rsid w:val="00F65844"/>
    <w:rPr>
      <w:rFonts w:ascii="Times New Roman" w:eastAsia="Times New Roman" w:hAnsi="Times New Roman" w:cs="Times New Roman"/>
      <w:sz w:val="24"/>
      <w:szCs w:val="20"/>
      <w:lang w:val="en-GB" w:eastAsia="fr-FR"/>
    </w:rPr>
  </w:style>
  <w:style w:type="paragraph" w:customStyle="1" w:styleId="JuQuot">
    <w:name w:val="Ju_Quot"/>
    <w:basedOn w:val="Normal"/>
    <w:rsid w:val="00F65844"/>
    <w:pPr>
      <w:suppressAutoHyphens/>
      <w:spacing w:before="120" w:after="120"/>
      <w:ind w:left="403" w:firstLine="176"/>
      <w:jc w:val="both"/>
    </w:pPr>
    <w:rPr>
      <w:rFonts w:ascii="Times New Roman" w:eastAsia="Times New Roman" w:hAnsi="Times New Roman" w:cs="Times New Roman"/>
      <w:sz w:val="20"/>
      <w:szCs w:val="20"/>
      <w:lang w:val="en-GB"/>
    </w:rPr>
  </w:style>
  <w:style w:type="character" w:customStyle="1" w:styleId="sb8d990e2">
    <w:name w:val="sb8d990e2"/>
    <w:rsid w:val="00D14733"/>
  </w:style>
  <w:style w:type="character" w:customStyle="1" w:styleId="ju-005fpara--char">
    <w:name w:val="ju-005fpara--char"/>
    <w:rsid w:val="00D14733"/>
  </w:style>
  <w:style w:type="paragraph" w:customStyle="1" w:styleId="JuH1">
    <w:name w:val="Ju_H_1."/>
    <w:basedOn w:val="Normal"/>
    <w:next w:val="JuPara"/>
    <w:rsid w:val="00D14733"/>
    <w:pPr>
      <w:keepNext/>
      <w:keepLines/>
      <w:tabs>
        <w:tab w:val="left" w:pos="731"/>
      </w:tabs>
      <w:spacing w:before="240" w:after="120"/>
      <w:ind w:left="732" w:hanging="301"/>
      <w:jc w:val="both"/>
      <w:outlineLvl w:val="3"/>
    </w:pPr>
    <w:rPr>
      <w:rFonts w:ascii="Times New Roman" w:eastAsia="Times New Roman" w:hAnsi="Times New Roman" w:cs="Times New Roman"/>
      <w:i/>
      <w:sz w:val="24"/>
      <w:szCs w:val="20"/>
      <w:lang w:val="en-GB" w:eastAsia="fr-FR"/>
    </w:rPr>
  </w:style>
  <w:style w:type="character" w:customStyle="1" w:styleId="wordhighlighted">
    <w:name w:val="wordhighlighted"/>
    <w:rsid w:val="00D14733"/>
  </w:style>
  <w:style w:type="paragraph" w:customStyle="1" w:styleId="JuHA">
    <w:name w:val="Ju_H_A"/>
    <w:basedOn w:val="Normal"/>
    <w:next w:val="JuPara"/>
    <w:rsid w:val="00D14733"/>
    <w:pPr>
      <w:keepNext/>
      <w:keepLines/>
      <w:tabs>
        <w:tab w:val="left" w:pos="584"/>
      </w:tabs>
      <w:spacing w:before="360" w:after="240"/>
      <w:ind w:left="584" w:hanging="352"/>
      <w:jc w:val="both"/>
      <w:outlineLvl w:val="2"/>
    </w:pPr>
    <w:rPr>
      <w:rFonts w:ascii="Times New Roman" w:eastAsia="Times New Roman" w:hAnsi="Times New Roman" w:cs="Times New Roman"/>
      <w:b/>
      <w:sz w:val="24"/>
      <w:szCs w:val="20"/>
      <w:lang w:val="en-GB" w:eastAsia="fr-FR"/>
    </w:rPr>
  </w:style>
  <w:style w:type="paragraph" w:customStyle="1" w:styleId="JuHa0">
    <w:name w:val="Ju_H_a"/>
    <w:basedOn w:val="JuH1"/>
    <w:next w:val="JuPara"/>
    <w:rsid w:val="00D14733"/>
    <w:pPr>
      <w:tabs>
        <w:tab w:val="clear" w:pos="731"/>
        <w:tab w:val="left" w:pos="975"/>
      </w:tabs>
      <w:ind w:left="975" w:hanging="340"/>
      <w:outlineLvl w:val="4"/>
    </w:pPr>
    <w:rPr>
      <w:b/>
      <w:i w:val="0"/>
      <w:sz w:val="20"/>
    </w:rPr>
  </w:style>
  <w:style w:type="character" w:customStyle="1" w:styleId="s6b621b36">
    <w:name w:val="s6b621b36"/>
    <w:rsid w:val="00D14733"/>
  </w:style>
  <w:style w:type="character" w:customStyle="1" w:styleId="s7d2086b4">
    <w:name w:val="s7d2086b4"/>
    <w:rsid w:val="00D14733"/>
  </w:style>
  <w:style w:type="paragraph" w:customStyle="1" w:styleId="JuHi">
    <w:name w:val="Ju_H_i"/>
    <w:basedOn w:val="JuHa0"/>
    <w:next w:val="JuPara"/>
    <w:rsid w:val="00D14733"/>
    <w:pPr>
      <w:tabs>
        <w:tab w:val="clear" w:pos="975"/>
        <w:tab w:val="left" w:pos="1191"/>
      </w:tabs>
      <w:ind w:left="1190" w:hanging="357"/>
      <w:outlineLvl w:val="5"/>
    </w:pPr>
    <w:rPr>
      <w:b w:val="0"/>
      <w:i/>
    </w:rPr>
  </w:style>
  <w:style w:type="paragraph" w:customStyle="1" w:styleId="s32b251d">
    <w:name w:val="s32b251d"/>
    <w:basedOn w:val="Normal"/>
    <w:rsid w:val="00D77F35"/>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f1c7242d">
    <w:name w:val="sf1c7242d"/>
    <w:basedOn w:val="Policepardfaut"/>
    <w:rsid w:val="00D77F35"/>
  </w:style>
  <w:style w:type="paragraph" w:customStyle="1" w:styleId="s30eec3f8">
    <w:name w:val="s30eec3f8"/>
    <w:basedOn w:val="Normal"/>
    <w:rsid w:val="00592CFF"/>
    <w:pPr>
      <w:spacing w:before="100" w:beforeAutospacing="1" w:after="100" w:afterAutospacing="1"/>
    </w:pPr>
    <w:rPr>
      <w:rFonts w:ascii="Times New Roman" w:eastAsia="Times New Roman" w:hAnsi="Times New Roman" w:cs="Times New Roman"/>
      <w:sz w:val="24"/>
      <w:szCs w:val="24"/>
      <w:lang w:val="fr-FR" w:eastAsia="fr-FR"/>
    </w:rPr>
  </w:style>
  <w:style w:type="paragraph" w:styleId="Notedefin">
    <w:name w:val="endnote text"/>
    <w:basedOn w:val="Normal"/>
    <w:link w:val="NotedefinCar"/>
    <w:uiPriority w:val="99"/>
    <w:semiHidden/>
    <w:rsid w:val="00FD6077"/>
    <w:rPr>
      <w:sz w:val="20"/>
      <w:szCs w:val="20"/>
    </w:rPr>
  </w:style>
  <w:style w:type="character" w:customStyle="1" w:styleId="NotedefinCar">
    <w:name w:val="Note de fin Car"/>
    <w:basedOn w:val="Policepardfaut"/>
    <w:link w:val="Notedefin"/>
    <w:uiPriority w:val="99"/>
    <w:semiHidden/>
    <w:rsid w:val="00FD6077"/>
    <w:rPr>
      <w:sz w:val="20"/>
      <w:szCs w:val="20"/>
    </w:rPr>
  </w:style>
  <w:style w:type="character" w:styleId="Appeldenotedefin">
    <w:name w:val="endnote reference"/>
    <w:basedOn w:val="Policepardfaut"/>
    <w:uiPriority w:val="99"/>
    <w:semiHidden/>
    <w:rsid w:val="00FD6077"/>
    <w:rPr>
      <w:vertAlign w:val="superscript"/>
    </w:rPr>
  </w:style>
  <w:style w:type="character" w:customStyle="1" w:styleId="JuParaCar">
    <w:name w:val="Ju_Para Car"/>
    <w:uiPriority w:val="12"/>
    <w:rsid w:val="003B1758"/>
    <w:rPr>
      <w:rFonts w:eastAsia="Times New Roman"/>
      <w:sz w:val="24"/>
    </w:rPr>
  </w:style>
  <w:style w:type="paragraph" w:customStyle="1" w:styleId="JuAppQuestion">
    <w:name w:val="Ju_App_Question"/>
    <w:basedOn w:val="Normal"/>
    <w:uiPriority w:val="5"/>
    <w:rsid w:val="003B1758"/>
    <w:pPr>
      <w:numPr>
        <w:numId w:val="8"/>
      </w:numPr>
      <w:tabs>
        <w:tab w:val="clear" w:pos="720"/>
        <w:tab w:val="num" w:pos="964"/>
      </w:tabs>
      <w:ind w:left="964" w:hanging="397"/>
      <w:jc w:val="both"/>
    </w:pPr>
    <w:rPr>
      <w:rFonts w:eastAsia="Times New Roman"/>
      <w:b/>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9501">
      <w:bodyDiv w:val="1"/>
      <w:marLeft w:val="0"/>
      <w:marRight w:val="0"/>
      <w:marTop w:val="0"/>
      <w:marBottom w:val="0"/>
      <w:divBdr>
        <w:top w:val="none" w:sz="0" w:space="0" w:color="auto"/>
        <w:left w:val="none" w:sz="0" w:space="0" w:color="auto"/>
        <w:bottom w:val="none" w:sz="0" w:space="0" w:color="auto"/>
        <w:right w:val="none" w:sz="0" w:space="0" w:color="auto"/>
      </w:divBdr>
      <w:divsChild>
        <w:div w:id="2078432816">
          <w:marLeft w:val="0"/>
          <w:marRight w:val="0"/>
          <w:marTop w:val="0"/>
          <w:marBottom w:val="0"/>
          <w:divBdr>
            <w:top w:val="none" w:sz="0" w:space="0" w:color="auto"/>
            <w:left w:val="none" w:sz="0" w:space="0" w:color="auto"/>
            <w:bottom w:val="none" w:sz="0" w:space="0" w:color="auto"/>
            <w:right w:val="none" w:sz="0" w:space="0" w:color="auto"/>
          </w:divBdr>
          <w:divsChild>
            <w:div w:id="417210860">
              <w:marLeft w:val="0"/>
              <w:marRight w:val="0"/>
              <w:marTop w:val="0"/>
              <w:marBottom w:val="0"/>
              <w:divBdr>
                <w:top w:val="none" w:sz="0" w:space="0" w:color="auto"/>
                <w:left w:val="none" w:sz="0" w:space="0" w:color="auto"/>
                <w:bottom w:val="none" w:sz="0" w:space="0" w:color="auto"/>
                <w:right w:val="none" w:sz="0" w:space="0" w:color="auto"/>
              </w:divBdr>
              <w:divsChild>
                <w:div w:id="4406574">
                  <w:marLeft w:val="0"/>
                  <w:marRight w:val="0"/>
                  <w:marTop w:val="0"/>
                  <w:marBottom w:val="0"/>
                  <w:divBdr>
                    <w:top w:val="none" w:sz="0" w:space="0" w:color="auto"/>
                    <w:left w:val="none" w:sz="0" w:space="0" w:color="auto"/>
                    <w:bottom w:val="none" w:sz="0" w:space="0" w:color="auto"/>
                    <w:right w:val="none" w:sz="0" w:space="0" w:color="auto"/>
                  </w:divBdr>
                  <w:divsChild>
                    <w:div w:id="2030333126">
                      <w:marLeft w:val="0"/>
                      <w:marRight w:val="0"/>
                      <w:marTop w:val="0"/>
                      <w:marBottom w:val="0"/>
                      <w:divBdr>
                        <w:top w:val="none" w:sz="0" w:space="0" w:color="auto"/>
                        <w:left w:val="none" w:sz="0" w:space="0" w:color="auto"/>
                        <w:bottom w:val="none" w:sz="0" w:space="0" w:color="auto"/>
                        <w:right w:val="none" w:sz="0" w:space="0" w:color="auto"/>
                      </w:divBdr>
                      <w:divsChild>
                        <w:div w:id="1952545253">
                          <w:marLeft w:val="0"/>
                          <w:marRight w:val="0"/>
                          <w:marTop w:val="0"/>
                          <w:marBottom w:val="0"/>
                          <w:divBdr>
                            <w:top w:val="none" w:sz="0" w:space="0" w:color="auto"/>
                            <w:left w:val="none" w:sz="0" w:space="0" w:color="auto"/>
                            <w:bottom w:val="none" w:sz="0" w:space="0" w:color="auto"/>
                            <w:right w:val="none" w:sz="0" w:space="0" w:color="auto"/>
                          </w:divBdr>
                          <w:divsChild>
                            <w:div w:id="1058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948653">
      <w:bodyDiv w:val="1"/>
      <w:marLeft w:val="0"/>
      <w:marRight w:val="0"/>
      <w:marTop w:val="0"/>
      <w:marBottom w:val="0"/>
      <w:divBdr>
        <w:top w:val="none" w:sz="0" w:space="0" w:color="auto"/>
        <w:left w:val="none" w:sz="0" w:space="0" w:color="auto"/>
        <w:bottom w:val="none" w:sz="0" w:space="0" w:color="auto"/>
        <w:right w:val="none" w:sz="0" w:space="0" w:color="auto"/>
      </w:divBdr>
      <w:divsChild>
        <w:div w:id="267007421">
          <w:marLeft w:val="0"/>
          <w:marRight w:val="0"/>
          <w:marTop w:val="0"/>
          <w:marBottom w:val="0"/>
          <w:divBdr>
            <w:top w:val="none" w:sz="0" w:space="0" w:color="auto"/>
            <w:left w:val="none" w:sz="0" w:space="0" w:color="auto"/>
            <w:bottom w:val="none" w:sz="0" w:space="0" w:color="auto"/>
            <w:right w:val="none" w:sz="0" w:space="0" w:color="auto"/>
          </w:divBdr>
          <w:divsChild>
            <w:div w:id="175965191">
              <w:marLeft w:val="0"/>
              <w:marRight w:val="0"/>
              <w:marTop w:val="0"/>
              <w:marBottom w:val="0"/>
              <w:divBdr>
                <w:top w:val="none" w:sz="0" w:space="0" w:color="auto"/>
                <w:left w:val="none" w:sz="0" w:space="0" w:color="auto"/>
                <w:bottom w:val="none" w:sz="0" w:space="0" w:color="auto"/>
                <w:right w:val="none" w:sz="0" w:space="0" w:color="auto"/>
              </w:divBdr>
              <w:divsChild>
                <w:div w:id="1859731597">
                  <w:marLeft w:val="0"/>
                  <w:marRight w:val="0"/>
                  <w:marTop w:val="0"/>
                  <w:marBottom w:val="0"/>
                  <w:divBdr>
                    <w:top w:val="none" w:sz="0" w:space="0" w:color="auto"/>
                    <w:left w:val="none" w:sz="0" w:space="0" w:color="auto"/>
                    <w:bottom w:val="none" w:sz="0" w:space="0" w:color="auto"/>
                    <w:right w:val="none" w:sz="0" w:space="0" w:color="auto"/>
                  </w:divBdr>
                  <w:divsChild>
                    <w:div w:id="956721696">
                      <w:marLeft w:val="0"/>
                      <w:marRight w:val="0"/>
                      <w:marTop w:val="0"/>
                      <w:marBottom w:val="0"/>
                      <w:divBdr>
                        <w:top w:val="none" w:sz="0" w:space="0" w:color="auto"/>
                        <w:left w:val="none" w:sz="0" w:space="0" w:color="auto"/>
                        <w:bottom w:val="none" w:sz="0" w:space="0" w:color="auto"/>
                        <w:right w:val="none" w:sz="0" w:space="0" w:color="auto"/>
                      </w:divBdr>
                      <w:divsChild>
                        <w:div w:id="1098065827">
                          <w:marLeft w:val="0"/>
                          <w:marRight w:val="0"/>
                          <w:marTop w:val="0"/>
                          <w:marBottom w:val="0"/>
                          <w:divBdr>
                            <w:top w:val="none" w:sz="0" w:space="0" w:color="auto"/>
                            <w:left w:val="none" w:sz="0" w:space="0" w:color="auto"/>
                            <w:bottom w:val="none" w:sz="0" w:space="0" w:color="auto"/>
                            <w:right w:val="none" w:sz="0" w:space="0" w:color="auto"/>
                          </w:divBdr>
                          <w:divsChild>
                            <w:div w:id="12854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686142">
      <w:bodyDiv w:val="1"/>
      <w:marLeft w:val="0"/>
      <w:marRight w:val="0"/>
      <w:marTop w:val="0"/>
      <w:marBottom w:val="0"/>
      <w:divBdr>
        <w:top w:val="none" w:sz="0" w:space="0" w:color="auto"/>
        <w:left w:val="none" w:sz="0" w:space="0" w:color="auto"/>
        <w:bottom w:val="none" w:sz="0" w:space="0" w:color="auto"/>
        <w:right w:val="none" w:sz="0" w:space="0" w:color="auto"/>
      </w:divBdr>
      <w:divsChild>
        <w:div w:id="1636400992">
          <w:marLeft w:val="0"/>
          <w:marRight w:val="0"/>
          <w:marTop w:val="0"/>
          <w:marBottom w:val="0"/>
          <w:divBdr>
            <w:top w:val="none" w:sz="0" w:space="0" w:color="auto"/>
            <w:left w:val="none" w:sz="0" w:space="0" w:color="auto"/>
            <w:bottom w:val="none" w:sz="0" w:space="0" w:color="auto"/>
            <w:right w:val="none" w:sz="0" w:space="0" w:color="auto"/>
          </w:divBdr>
          <w:divsChild>
            <w:div w:id="1592425907">
              <w:marLeft w:val="0"/>
              <w:marRight w:val="0"/>
              <w:marTop w:val="0"/>
              <w:marBottom w:val="0"/>
              <w:divBdr>
                <w:top w:val="none" w:sz="0" w:space="0" w:color="auto"/>
                <w:left w:val="none" w:sz="0" w:space="0" w:color="auto"/>
                <w:bottom w:val="none" w:sz="0" w:space="0" w:color="auto"/>
                <w:right w:val="none" w:sz="0" w:space="0" w:color="auto"/>
              </w:divBdr>
              <w:divsChild>
                <w:div w:id="2038852688">
                  <w:marLeft w:val="0"/>
                  <w:marRight w:val="0"/>
                  <w:marTop w:val="0"/>
                  <w:marBottom w:val="0"/>
                  <w:divBdr>
                    <w:top w:val="none" w:sz="0" w:space="0" w:color="auto"/>
                    <w:left w:val="none" w:sz="0" w:space="0" w:color="auto"/>
                    <w:bottom w:val="none" w:sz="0" w:space="0" w:color="auto"/>
                    <w:right w:val="none" w:sz="0" w:space="0" w:color="auto"/>
                  </w:divBdr>
                  <w:divsChild>
                    <w:div w:id="1059669594">
                      <w:marLeft w:val="0"/>
                      <w:marRight w:val="0"/>
                      <w:marTop w:val="0"/>
                      <w:marBottom w:val="0"/>
                      <w:divBdr>
                        <w:top w:val="none" w:sz="0" w:space="0" w:color="auto"/>
                        <w:left w:val="none" w:sz="0" w:space="0" w:color="auto"/>
                        <w:bottom w:val="none" w:sz="0" w:space="0" w:color="auto"/>
                        <w:right w:val="none" w:sz="0" w:space="0" w:color="auto"/>
                      </w:divBdr>
                      <w:divsChild>
                        <w:div w:id="1975063245">
                          <w:marLeft w:val="0"/>
                          <w:marRight w:val="0"/>
                          <w:marTop w:val="0"/>
                          <w:marBottom w:val="0"/>
                          <w:divBdr>
                            <w:top w:val="none" w:sz="0" w:space="0" w:color="auto"/>
                            <w:left w:val="none" w:sz="0" w:space="0" w:color="auto"/>
                            <w:bottom w:val="none" w:sz="0" w:space="0" w:color="auto"/>
                            <w:right w:val="none" w:sz="0" w:space="0" w:color="auto"/>
                          </w:divBdr>
                          <w:divsChild>
                            <w:div w:id="11616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73430">
      <w:bodyDiv w:val="1"/>
      <w:marLeft w:val="0"/>
      <w:marRight w:val="0"/>
      <w:marTop w:val="0"/>
      <w:marBottom w:val="0"/>
      <w:divBdr>
        <w:top w:val="none" w:sz="0" w:space="0" w:color="auto"/>
        <w:left w:val="none" w:sz="0" w:space="0" w:color="auto"/>
        <w:bottom w:val="none" w:sz="0" w:space="0" w:color="auto"/>
        <w:right w:val="none" w:sz="0" w:space="0" w:color="auto"/>
      </w:divBdr>
      <w:divsChild>
        <w:div w:id="145434281">
          <w:marLeft w:val="0"/>
          <w:marRight w:val="0"/>
          <w:marTop w:val="0"/>
          <w:marBottom w:val="0"/>
          <w:divBdr>
            <w:top w:val="none" w:sz="0" w:space="0" w:color="auto"/>
            <w:left w:val="none" w:sz="0" w:space="0" w:color="auto"/>
            <w:bottom w:val="none" w:sz="0" w:space="0" w:color="auto"/>
            <w:right w:val="none" w:sz="0" w:space="0" w:color="auto"/>
          </w:divBdr>
          <w:divsChild>
            <w:div w:id="37245441">
              <w:marLeft w:val="0"/>
              <w:marRight w:val="0"/>
              <w:marTop w:val="0"/>
              <w:marBottom w:val="0"/>
              <w:divBdr>
                <w:top w:val="none" w:sz="0" w:space="0" w:color="auto"/>
                <w:left w:val="none" w:sz="0" w:space="0" w:color="auto"/>
                <w:bottom w:val="none" w:sz="0" w:space="0" w:color="auto"/>
                <w:right w:val="none" w:sz="0" w:space="0" w:color="auto"/>
              </w:divBdr>
              <w:divsChild>
                <w:div w:id="1120026331">
                  <w:marLeft w:val="0"/>
                  <w:marRight w:val="0"/>
                  <w:marTop w:val="0"/>
                  <w:marBottom w:val="0"/>
                  <w:divBdr>
                    <w:top w:val="none" w:sz="0" w:space="0" w:color="auto"/>
                    <w:left w:val="none" w:sz="0" w:space="0" w:color="auto"/>
                    <w:bottom w:val="none" w:sz="0" w:space="0" w:color="auto"/>
                    <w:right w:val="none" w:sz="0" w:space="0" w:color="auto"/>
                  </w:divBdr>
                  <w:divsChild>
                    <w:div w:id="1986616475">
                      <w:marLeft w:val="0"/>
                      <w:marRight w:val="0"/>
                      <w:marTop w:val="0"/>
                      <w:marBottom w:val="0"/>
                      <w:divBdr>
                        <w:top w:val="none" w:sz="0" w:space="0" w:color="auto"/>
                        <w:left w:val="none" w:sz="0" w:space="0" w:color="auto"/>
                        <w:bottom w:val="none" w:sz="0" w:space="0" w:color="auto"/>
                        <w:right w:val="none" w:sz="0" w:space="0" w:color="auto"/>
                      </w:divBdr>
                      <w:divsChild>
                        <w:div w:id="1810898435">
                          <w:marLeft w:val="0"/>
                          <w:marRight w:val="0"/>
                          <w:marTop w:val="0"/>
                          <w:marBottom w:val="0"/>
                          <w:divBdr>
                            <w:top w:val="none" w:sz="0" w:space="0" w:color="auto"/>
                            <w:left w:val="none" w:sz="0" w:space="0" w:color="auto"/>
                            <w:bottom w:val="none" w:sz="0" w:space="0" w:color="auto"/>
                            <w:right w:val="none" w:sz="0" w:space="0" w:color="auto"/>
                          </w:divBdr>
                          <w:divsChild>
                            <w:div w:id="9281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6964">
      <w:bodyDiv w:val="1"/>
      <w:marLeft w:val="0"/>
      <w:marRight w:val="0"/>
      <w:marTop w:val="0"/>
      <w:marBottom w:val="0"/>
      <w:divBdr>
        <w:top w:val="none" w:sz="0" w:space="0" w:color="auto"/>
        <w:left w:val="none" w:sz="0" w:space="0" w:color="auto"/>
        <w:bottom w:val="none" w:sz="0" w:space="0" w:color="auto"/>
        <w:right w:val="none" w:sz="0" w:space="0" w:color="auto"/>
      </w:divBdr>
      <w:divsChild>
        <w:div w:id="2120101807">
          <w:marLeft w:val="0"/>
          <w:marRight w:val="0"/>
          <w:marTop w:val="0"/>
          <w:marBottom w:val="0"/>
          <w:divBdr>
            <w:top w:val="none" w:sz="0" w:space="0" w:color="auto"/>
            <w:left w:val="none" w:sz="0" w:space="0" w:color="auto"/>
            <w:bottom w:val="none" w:sz="0" w:space="0" w:color="auto"/>
            <w:right w:val="none" w:sz="0" w:space="0" w:color="auto"/>
          </w:divBdr>
          <w:divsChild>
            <w:div w:id="1080102349">
              <w:marLeft w:val="0"/>
              <w:marRight w:val="0"/>
              <w:marTop w:val="0"/>
              <w:marBottom w:val="0"/>
              <w:divBdr>
                <w:top w:val="none" w:sz="0" w:space="0" w:color="auto"/>
                <w:left w:val="none" w:sz="0" w:space="0" w:color="auto"/>
                <w:bottom w:val="none" w:sz="0" w:space="0" w:color="auto"/>
                <w:right w:val="none" w:sz="0" w:space="0" w:color="auto"/>
              </w:divBdr>
              <w:divsChild>
                <w:div w:id="1808471357">
                  <w:marLeft w:val="0"/>
                  <w:marRight w:val="0"/>
                  <w:marTop w:val="0"/>
                  <w:marBottom w:val="0"/>
                  <w:divBdr>
                    <w:top w:val="none" w:sz="0" w:space="0" w:color="auto"/>
                    <w:left w:val="none" w:sz="0" w:space="0" w:color="auto"/>
                    <w:bottom w:val="none" w:sz="0" w:space="0" w:color="auto"/>
                    <w:right w:val="none" w:sz="0" w:space="0" w:color="auto"/>
                  </w:divBdr>
                  <w:divsChild>
                    <w:div w:id="1695379173">
                      <w:marLeft w:val="0"/>
                      <w:marRight w:val="0"/>
                      <w:marTop w:val="0"/>
                      <w:marBottom w:val="0"/>
                      <w:divBdr>
                        <w:top w:val="none" w:sz="0" w:space="0" w:color="auto"/>
                        <w:left w:val="none" w:sz="0" w:space="0" w:color="auto"/>
                        <w:bottom w:val="none" w:sz="0" w:space="0" w:color="auto"/>
                        <w:right w:val="none" w:sz="0" w:space="0" w:color="auto"/>
                      </w:divBdr>
                      <w:divsChild>
                        <w:div w:id="1228341921">
                          <w:marLeft w:val="0"/>
                          <w:marRight w:val="0"/>
                          <w:marTop w:val="0"/>
                          <w:marBottom w:val="0"/>
                          <w:divBdr>
                            <w:top w:val="none" w:sz="0" w:space="0" w:color="auto"/>
                            <w:left w:val="none" w:sz="0" w:space="0" w:color="auto"/>
                            <w:bottom w:val="none" w:sz="0" w:space="0" w:color="auto"/>
                            <w:right w:val="none" w:sz="0" w:space="0" w:color="auto"/>
                          </w:divBdr>
                          <w:divsChild>
                            <w:div w:id="17509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ECHR_Theme_GREY">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 document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5A4B-482E-448F-8E41-AC481BC1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10340</Characters>
  <Application>Microsoft Office Word</Application>
  <DocSecurity>4</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COE</Company>
  <LinksUpToDate>false</LinksUpToDate>
  <CharactersWithSpaces>12130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Tretyakov, Dmytro</dc:creator>
  <cp:lastModifiedBy>DI-POL Rosy</cp:lastModifiedBy>
  <cp:revision>2</cp:revision>
  <cp:lastPrinted>2015-03-27T15:19:00Z</cp:lastPrinted>
  <dcterms:created xsi:type="dcterms:W3CDTF">2015-06-11T08:36:00Z</dcterms:created>
  <dcterms:modified xsi:type="dcterms:W3CDTF">2015-06-11T08:36:00Z</dcterms:modified>
</cp:coreProperties>
</file>