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F72" w:rsidRPr="00304F72" w:rsidRDefault="00304F72" w:rsidP="00304F72">
      <w:pPr>
        <w:spacing w:before="240" w:line="360" w:lineRule="auto"/>
        <w:jc w:val="both"/>
        <w:rPr>
          <w:rFonts w:cstheme="minorHAnsi"/>
          <w:lang w:val="en-GB"/>
        </w:rPr>
      </w:pPr>
      <w:bookmarkStart w:id="0" w:name="_GoBack"/>
      <w:bookmarkEnd w:id="0"/>
      <w:r w:rsidRPr="00304F72">
        <w:rPr>
          <w:rFonts w:cstheme="minorHAnsi"/>
          <w:lang w:val="en-GB"/>
        </w:rPr>
        <w:t xml:space="preserve">a) Austria / b) Constitutional Court / c) / d) </w:t>
      </w:r>
      <w:r w:rsidRPr="00304F72">
        <w:rPr>
          <w:rFonts w:cstheme="minorHAnsi"/>
          <w:lang w:val="en-US"/>
        </w:rPr>
        <w:t>1</w:t>
      </w:r>
      <w:r>
        <w:rPr>
          <w:rFonts w:cstheme="minorHAnsi"/>
          <w:lang w:val="en-US"/>
        </w:rPr>
        <w:t>4</w:t>
      </w:r>
      <w:r w:rsidRPr="00304F72">
        <w:rPr>
          <w:rFonts w:cstheme="minorHAnsi"/>
          <w:lang w:val="en-US"/>
        </w:rPr>
        <w:t>.0</w:t>
      </w:r>
      <w:r>
        <w:rPr>
          <w:rFonts w:cstheme="minorHAnsi"/>
          <w:lang w:val="en-US"/>
        </w:rPr>
        <w:t>7</w:t>
      </w:r>
      <w:r w:rsidRPr="00304F72">
        <w:rPr>
          <w:rFonts w:cstheme="minorHAnsi"/>
          <w:lang w:val="en-US"/>
        </w:rPr>
        <w:t xml:space="preserve">.2020 </w:t>
      </w:r>
      <w:r w:rsidRPr="00304F72">
        <w:rPr>
          <w:rFonts w:cstheme="minorHAnsi"/>
          <w:lang w:val="en-GB"/>
        </w:rPr>
        <w:t xml:space="preserve">/ e) </w:t>
      </w:r>
      <w:r>
        <w:rPr>
          <w:rFonts w:cstheme="minorHAnsi"/>
          <w:lang w:val="en-GB"/>
        </w:rPr>
        <w:t>V 363/2020</w:t>
      </w:r>
      <w:r w:rsidRPr="00304F72">
        <w:rPr>
          <w:rFonts w:cstheme="minorHAnsi"/>
          <w:lang w:val="en-GB"/>
        </w:rPr>
        <w:t xml:space="preserve"> /</w:t>
      </w:r>
      <w:r w:rsidRPr="00304F72">
        <w:rPr>
          <w:rFonts w:cstheme="minorHAnsi"/>
          <w:lang w:val="en-US"/>
        </w:rPr>
        <w:t xml:space="preserve"> </w:t>
      </w:r>
      <w:r w:rsidRPr="00304F72">
        <w:rPr>
          <w:rFonts w:cstheme="minorHAnsi"/>
          <w:lang w:val="en-GB"/>
        </w:rPr>
        <w:t>f) / g) ECLI:AT:VFGH:2020:</w:t>
      </w:r>
      <w:r>
        <w:rPr>
          <w:rFonts w:cstheme="minorHAnsi"/>
          <w:lang w:val="en-GB"/>
        </w:rPr>
        <w:t>V363</w:t>
      </w:r>
      <w:r w:rsidRPr="00304F72">
        <w:rPr>
          <w:rFonts w:cstheme="minorHAnsi"/>
          <w:lang w:val="en-GB"/>
        </w:rPr>
        <w:t>.20</w:t>
      </w:r>
      <w:r>
        <w:rPr>
          <w:rFonts w:cstheme="minorHAnsi"/>
          <w:lang w:val="en-GB"/>
        </w:rPr>
        <w:t>20</w:t>
      </w:r>
      <w:r w:rsidRPr="00304F72">
        <w:rPr>
          <w:rFonts w:cstheme="minorHAnsi"/>
          <w:lang w:val="en-GB"/>
        </w:rPr>
        <w:t xml:space="preserve"> / h) CODICES (German).</w:t>
      </w:r>
    </w:p>
    <w:p w:rsidR="000A0497" w:rsidRDefault="000A0497" w:rsidP="000A0497">
      <w:pPr>
        <w:spacing w:before="240" w:line="360" w:lineRule="auto"/>
        <w:jc w:val="both"/>
        <w:rPr>
          <w:rFonts w:cstheme="minorHAnsi"/>
          <w:i/>
          <w:lang w:val="en-GB"/>
        </w:rPr>
      </w:pPr>
      <w:r w:rsidRPr="000A0497">
        <w:rPr>
          <w:rFonts w:cstheme="minorHAnsi"/>
          <w:i/>
          <w:lang w:val="en-GB"/>
        </w:rPr>
        <w:t>Keywords of the systematic thesaurus:</w:t>
      </w:r>
    </w:p>
    <w:p w:rsidR="00AD43A6" w:rsidRDefault="00AD43A6" w:rsidP="000A0497">
      <w:pPr>
        <w:spacing w:before="240" w:line="360" w:lineRule="auto"/>
        <w:jc w:val="both"/>
        <w:rPr>
          <w:rFonts w:cstheme="minorHAnsi"/>
          <w:lang w:val="en-GB"/>
        </w:rPr>
      </w:pPr>
      <w:r>
        <w:rPr>
          <w:rFonts w:cstheme="minorHAnsi"/>
          <w:lang w:val="en-GB"/>
        </w:rPr>
        <w:t xml:space="preserve">3.12 General Principles – </w:t>
      </w:r>
      <w:r w:rsidRPr="007849AB">
        <w:rPr>
          <w:rFonts w:cstheme="minorHAnsi"/>
          <w:b/>
          <w:lang w:val="en-GB"/>
        </w:rPr>
        <w:t>Clarity and precision of legal provisions</w:t>
      </w:r>
    </w:p>
    <w:p w:rsidR="00AD43A6" w:rsidRDefault="00AD43A6" w:rsidP="000A0497">
      <w:pPr>
        <w:spacing w:before="240" w:line="360" w:lineRule="auto"/>
        <w:jc w:val="both"/>
        <w:rPr>
          <w:rFonts w:cstheme="minorHAnsi"/>
          <w:lang w:val="en-GB"/>
        </w:rPr>
      </w:pPr>
      <w:r>
        <w:rPr>
          <w:rFonts w:cstheme="minorHAnsi"/>
          <w:lang w:val="en-GB"/>
        </w:rPr>
        <w:t xml:space="preserve">3.13 General Principles – </w:t>
      </w:r>
      <w:r w:rsidRPr="007849AB">
        <w:rPr>
          <w:rFonts w:cstheme="minorHAnsi"/>
          <w:b/>
          <w:lang w:val="en-GB"/>
        </w:rPr>
        <w:t>Legality</w:t>
      </w:r>
    </w:p>
    <w:p w:rsidR="007849AB" w:rsidRDefault="007849AB" w:rsidP="000A0497">
      <w:pPr>
        <w:spacing w:before="240" w:line="360" w:lineRule="auto"/>
        <w:jc w:val="both"/>
        <w:rPr>
          <w:rFonts w:cstheme="minorHAnsi"/>
          <w:lang w:val="en-GB"/>
        </w:rPr>
      </w:pPr>
      <w:r>
        <w:rPr>
          <w:rFonts w:cstheme="minorHAnsi"/>
          <w:lang w:val="en-GB"/>
        </w:rPr>
        <w:t xml:space="preserve">4.6.3.2 Institutions – Executive bodies – Application of laws – </w:t>
      </w:r>
      <w:r w:rsidRPr="007849AB">
        <w:rPr>
          <w:rFonts w:cstheme="minorHAnsi"/>
          <w:b/>
          <w:lang w:val="en-GB"/>
        </w:rPr>
        <w:t>Delegated rule-making powers</w:t>
      </w:r>
    </w:p>
    <w:p w:rsidR="007849AB" w:rsidRDefault="007849AB" w:rsidP="000A0497">
      <w:pPr>
        <w:spacing w:before="240" w:line="360" w:lineRule="auto"/>
        <w:jc w:val="both"/>
        <w:rPr>
          <w:rFonts w:cstheme="minorHAnsi"/>
          <w:lang w:val="en-GB"/>
        </w:rPr>
      </w:pPr>
      <w:r>
        <w:rPr>
          <w:rFonts w:cstheme="minorHAnsi"/>
          <w:lang w:val="en-GB"/>
        </w:rPr>
        <w:t xml:space="preserve">5.1.5 Fundamental Rights – General questions – </w:t>
      </w:r>
      <w:r w:rsidRPr="007849AB">
        <w:rPr>
          <w:rFonts w:cstheme="minorHAnsi"/>
          <w:b/>
          <w:lang w:val="en-GB"/>
        </w:rPr>
        <w:t>Emergency situations</w:t>
      </w:r>
    </w:p>
    <w:p w:rsidR="00AD43A6" w:rsidRPr="00AD43A6" w:rsidRDefault="00AD43A6" w:rsidP="000A0497">
      <w:pPr>
        <w:spacing w:before="240" w:line="360" w:lineRule="auto"/>
        <w:jc w:val="both"/>
        <w:rPr>
          <w:rFonts w:cstheme="minorHAnsi"/>
          <w:lang w:val="en-GB"/>
        </w:rPr>
      </w:pPr>
      <w:r>
        <w:rPr>
          <w:rFonts w:cstheme="minorHAnsi"/>
          <w:lang w:val="en-GB"/>
        </w:rPr>
        <w:t>5</w:t>
      </w:r>
      <w:r w:rsidR="007849AB">
        <w:rPr>
          <w:rFonts w:cstheme="minorHAnsi"/>
          <w:lang w:val="en-GB"/>
        </w:rPr>
        <w:t xml:space="preserve">.3.6 Fundamental Rights – Civil and political rights – </w:t>
      </w:r>
      <w:r w:rsidR="007849AB" w:rsidRPr="007849AB">
        <w:rPr>
          <w:rFonts w:cstheme="minorHAnsi"/>
          <w:b/>
          <w:lang w:val="en-GB"/>
        </w:rPr>
        <w:t>Freedom of movement</w:t>
      </w:r>
      <w:r>
        <w:rPr>
          <w:rFonts w:cstheme="minorHAnsi"/>
          <w:lang w:val="en-GB"/>
        </w:rPr>
        <w:t xml:space="preserve"> </w:t>
      </w:r>
    </w:p>
    <w:p w:rsidR="000A0497" w:rsidRPr="000A0497" w:rsidRDefault="000A0497" w:rsidP="000A0497">
      <w:pPr>
        <w:spacing w:before="240" w:line="360" w:lineRule="auto"/>
        <w:jc w:val="both"/>
        <w:rPr>
          <w:rFonts w:cstheme="minorHAnsi"/>
          <w:i/>
          <w:lang w:val="en-GB"/>
        </w:rPr>
      </w:pPr>
      <w:r w:rsidRPr="000A0497">
        <w:rPr>
          <w:rFonts w:cstheme="minorHAnsi"/>
          <w:i/>
          <w:lang w:val="en-GB"/>
        </w:rPr>
        <w:t>Keywords of the alphabetical index:</w:t>
      </w:r>
    </w:p>
    <w:p w:rsidR="000A0497" w:rsidRPr="000A0497" w:rsidRDefault="00F27572" w:rsidP="000A0497">
      <w:pPr>
        <w:spacing w:before="240" w:line="360" w:lineRule="auto"/>
        <w:jc w:val="both"/>
        <w:rPr>
          <w:rFonts w:cstheme="minorHAnsi"/>
          <w:lang w:val="en-GB"/>
        </w:rPr>
      </w:pPr>
      <w:r>
        <w:rPr>
          <w:rFonts w:cstheme="minorHAnsi"/>
          <w:lang w:val="en-GB"/>
        </w:rPr>
        <w:t xml:space="preserve">Epidemic / </w:t>
      </w:r>
      <w:r w:rsidR="007849AB">
        <w:rPr>
          <w:rFonts w:cstheme="minorHAnsi"/>
          <w:lang w:val="en-GB"/>
        </w:rPr>
        <w:t>Freedom of movement, temporary restriction / Legality</w:t>
      </w:r>
      <w:r w:rsidR="000A0497" w:rsidRPr="000A0497">
        <w:rPr>
          <w:rFonts w:cstheme="minorHAnsi"/>
          <w:lang w:val="en-GB"/>
        </w:rPr>
        <w:t>.</w:t>
      </w:r>
    </w:p>
    <w:p w:rsidR="00F17713" w:rsidRPr="001331EA" w:rsidRDefault="00F17713" w:rsidP="000F2E7E">
      <w:pPr>
        <w:spacing w:before="240" w:line="360" w:lineRule="auto"/>
        <w:jc w:val="both"/>
        <w:rPr>
          <w:rFonts w:cstheme="minorHAnsi"/>
          <w:i/>
          <w:lang w:val="en-GB"/>
        </w:rPr>
      </w:pPr>
      <w:r w:rsidRPr="001331EA">
        <w:rPr>
          <w:rFonts w:cstheme="minorHAnsi"/>
          <w:i/>
          <w:lang w:val="en-GB"/>
        </w:rPr>
        <w:t>Headnotes:</w:t>
      </w:r>
    </w:p>
    <w:p w:rsidR="00693022" w:rsidRPr="004E4D0E" w:rsidRDefault="00F17713" w:rsidP="000F2E7E">
      <w:pPr>
        <w:spacing w:before="100" w:beforeAutospacing="1" w:after="100" w:afterAutospacing="1" w:line="360" w:lineRule="auto"/>
        <w:jc w:val="both"/>
        <w:rPr>
          <w:rFonts w:eastAsia="Times New Roman" w:cstheme="minorHAnsi"/>
          <w:lang w:val="en-GB" w:eastAsia="de-AT"/>
        </w:rPr>
      </w:pPr>
      <w:r>
        <w:rPr>
          <w:rFonts w:cstheme="minorHAnsi"/>
          <w:lang w:val="en-GB" w:eastAsia="de-AT"/>
        </w:rPr>
        <w:t xml:space="preserve">COVID-19 regulation </w:t>
      </w:r>
      <w:r w:rsidR="00470512">
        <w:rPr>
          <w:rFonts w:cstheme="minorHAnsi"/>
          <w:lang w:val="en-GB" w:eastAsia="de-AT"/>
        </w:rPr>
        <w:t>of 15 March 2020</w:t>
      </w:r>
      <w:r w:rsidR="005C637D">
        <w:rPr>
          <w:rFonts w:cstheme="minorHAnsi"/>
          <w:lang w:val="en-GB" w:eastAsia="de-AT"/>
        </w:rPr>
        <w:t xml:space="preserve">, </w:t>
      </w:r>
      <w:r w:rsidRPr="001331EA">
        <w:rPr>
          <w:rFonts w:cstheme="minorHAnsi"/>
          <w:lang w:val="en-US"/>
        </w:rPr>
        <w:t xml:space="preserve">Federal Law Gazette II </w:t>
      </w:r>
      <w:r>
        <w:rPr>
          <w:rFonts w:cstheme="minorHAnsi"/>
          <w:lang w:val="en-US"/>
        </w:rPr>
        <w:t>No. </w:t>
      </w:r>
      <w:r w:rsidR="007D4121" w:rsidRPr="007D4121">
        <w:rPr>
          <w:rFonts w:eastAsia="Times New Roman" w:cstheme="minorHAnsi"/>
          <w:lang w:val="en-GB" w:eastAsia="de-AT"/>
        </w:rPr>
        <w:t xml:space="preserve">98/2020, </w:t>
      </w:r>
      <w:r w:rsidR="00503D5F">
        <w:rPr>
          <w:rFonts w:eastAsia="Times New Roman" w:cstheme="minorHAnsi"/>
          <w:lang w:val="en-GB" w:eastAsia="de-AT"/>
        </w:rPr>
        <w:t>according to</w:t>
      </w:r>
      <w:r w:rsidR="007D4121" w:rsidRPr="007D4121">
        <w:rPr>
          <w:rFonts w:eastAsia="Times New Roman" w:cstheme="minorHAnsi"/>
          <w:lang w:val="en-GB" w:eastAsia="de-AT"/>
        </w:rPr>
        <w:t xml:space="preserve"> which the entry into public places was generally forbidden</w:t>
      </w:r>
      <w:r w:rsidR="00503D5F">
        <w:rPr>
          <w:rFonts w:eastAsia="Times New Roman" w:cstheme="minorHAnsi"/>
          <w:lang w:val="en-GB" w:eastAsia="de-AT"/>
        </w:rPr>
        <w:t xml:space="preserve"> </w:t>
      </w:r>
      <w:r w:rsidR="00503D5F" w:rsidRPr="007D4121">
        <w:rPr>
          <w:rFonts w:eastAsia="Times New Roman" w:cstheme="minorHAnsi"/>
          <w:lang w:val="en-GB" w:eastAsia="de-AT"/>
        </w:rPr>
        <w:t>for the purpose of preventing the spread of COVID-19</w:t>
      </w:r>
      <w:r w:rsidR="007D4121" w:rsidRPr="007D4121">
        <w:rPr>
          <w:rFonts w:eastAsia="Times New Roman" w:cstheme="minorHAnsi"/>
          <w:lang w:val="en-GB" w:eastAsia="de-AT"/>
        </w:rPr>
        <w:t xml:space="preserve">, </w:t>
      </w:r>
      <w:r w:rsidR="00470512">
        <w:rPr>
          <w:rFonts w:eastAsia="Times New Roman" w:cstheme="minorHAnsi"/>
          <w:lang w:val="en-GB" w:eastAsia="de-AT"/>
        </w:rPr>
        <w:t>was found to be unlawful because it lacked a clear legal authorisation expressly providing for such a far-reaching interference with the right to free movement.</w:t>
      </w:r>
    </w:p>
    <w:p w:rsidR="00F17713" w:rsidRPr="001331EA" w:rsidRDefault="00F17713" w:rsidP="000F2E7E">
      <w:pPr>
        <w:spacing w:before="240" w:line="360" w:lineRule="auto"/>
        <w:jc w:val="both"/>
        <w:rPr>
          <w:rFonts w:cstheme="minorHAnsi"/>
          <w:i/>
          <w:lang w:val="en-GB"/>
        </w:rPr>
      </w:pPr>
      <w:r w:rsidRPr="001331EA">
        <w:rPr>
          <w:rFonts w:cstheme="minorHAnsi"/>
          <w:i/>
          <w:lang w:val="en-GB"/>
        </w:rPr>
        <w:t>Summary:</w:t>
      </w:r>
    </w:p>
    <w:p w:rsidR="00E80795" w:rsidRPr="00570CE3" w:rsidRDefault="00F17713" w:rsidP="000F2E7E">
      <w:pPr>
        <w:spacing w:before="240" w:line="360" w:lineRule="auto"/>
        <w:jc w:val="both"/>
        <w:rPr>
          <w:rFonts w:eastAsia="Times New Roman" w:cstheme="minorHAnsi"/>
          <w:lang w:val="en-GB" w:eastAsia="de-AT"/>
        </w:rPr>
      </w:pPr>
      <w:r>
        <w:rPr>
          <w:rFonts w:cstheme="minorHAnsi"/>
          <w:lang w:val="en-GB"/>
        </w:rPr>
        <w:t>1</w:t>
      </w:r>
      <w:r w:rsidRPr="0081314C">
        <w:rPr>
          <w:rFonts w:cstheme="minorHAnsi"/>
          <w:lang w:val="en-GB"/>
        </w:rPr>
        <w:t>.</w:t>
      </w:r>
      <w:r w:rsidRPr="0081314C">
        <w:rPr>
          <w:rFonts w:cstheme="minorHAnsi"/>
          <w:lang w:val="en-GB"/>
        </w:rPr>
        <w:tab/>
      </w:r>
      <w:r w:rsidR="005A719E">
        <w:rPr>
          <w:rFonts w:eastAsia="Times New Roman" w:cstheme="minorHAnsi"/>
          <w:lang w:val="en-GB" w:eastAsia="de-AT"/>
        </w:rPr>
        <w:t>§</w:t>
      </w:r>
      <w:r w:rsidR="004E4D0E">
        <w:rPr>
          <w:rFonts w:eastAsia="Times New Roman" w:cstheme="minorHAnsi"/>
          <w:lang w:val="en-GB" w:eastAsia="de-AT"/>
        </w:rPr>
        <w:t xml:space="preserve"> 2 of the COVID-19 Measures Act</w:t>
      </w:r>
      <w:r w:rsidR="00F051E6">
        <w:rPr>
          <w:rFonts w:cstheme="minorHAnsi"/>
          <w:lang w:val="en-US"/>
        </w:rPr>
        <w:t xml:space="preserve"> </w:t>
      </w:r>
      <w:r w:rsidR="003A2E23">
        <w:rPr>
          <w:rFonts w:eastAsia="Times New Roman" w:cstheme="minorHAnsi"/>
          <w:lang w:val="en-GB" w:eastAsia="de-AT"/>
        </w:rPr>
        <w:t xml:space="preserve">provides that </w:t>
      </w:r>
      <w:r w:rsidR="007D4121" w:rsidRPr="007D4121">
        <w:rPr>
          <w:rFonts w:eastAsia="Times New Roman" w:cstheme="minorHAnsi"/>
          <w:lang w:val="en-GB" w:eastAsia="de-AT"/>
        </w:rPr>
        <w:t>entering certain locations</w:t>
      </w:r>
      <w:r w:rsidR="00503D5F">
        <w:rPr>
          <w:rFonts w:eastAsia="Times New Roman" w:cstheme="minorHAnsi"/>
          <w:lang w:val="en-GB" w:eastAsia="de-AT"/>
        </w:rPr>
        <w:t xml:space="preserve"> may be forbidden by administrative regulation in order</w:t>
      </w:r>
      <w:r w:rsidR="007D4121" w:rsidRPr="007D4121">
        <w:rPr>
          <w:rFonts w:eastAsia="Times New Roman" w:cstheme="minorHAnsi"/>
          <w:lang w:val="en-GB" w:eastAsia="de-AT"/>
        </w:rPr>
        <w:t xml:space="preserve"> to</w:t>
      </w:r>
      <w:r w:rsidR="00570CE3">
        <w:rPr>
          <w:rFonts w:eastAsia="Times New Roman" w:cstheme="minorHAnsi"/>
          <w:lang w:val="en-GB" w:eastAsia="de-AT"/>
        </w:rPr>
        <w:t xml:space="preserve"> prevent the spread of the pandemic</w:t>
      </w:r>
      <w:r w:rsidR="007D4121" w:rsidRPr="007D4121">
        <w:rPr>
          <w:rFonts w:eastAsia="Times New Roman" w:cstheme="minorHAnsi"/>
          <w:lang w:val="en-GB" w:eastAsia="de-AT"/>
        </w:rPr>
        <w:t xml:space="preserve">. </w:t>
      </w:r>
      <w:r w:rsidR="00503D5F">
        <w:rPr>
          <w:rFonts w:eastAsia="Times New Roman" w:cstheme="minorHAnsi"/>
          <w:lang w:val="en-GB" w:eastAsia="de-AT"/>
        </w:rPr>
        <w:t>As per</w:t>
      </w:r>
      <w:r w:rsidR="00BD6F82">
        <w:rPr>
          <w:rFonts w:eastAsia="Times New Roman" w:cstheme="minorHAnsi"/>
          <w:lang w:val="en-GB" w:eastAsia="de-AT"/>
        </w:rPr>
        <w:t xml:space="preserve"> § 1 of the</w:t>
      </w:r>
      <w:r w:rsidR="00693022" w:rsidRPr="00693022">
        <w:rPr>
          <w:rFonts w:eastAsia="Times New Roman" w:cstheme="minorHAnsi"/>
          <w:lang w:val="en-GB" w:eastAsia="de-AT"/>
        </w:rPr>
        <w:t xml:space="preserve"> </w:t>
      </w:r>
      <w:r w:rsidR="00693022">
        <w:rPr>
          <w:rFonts w:cstheme="minorHAnsi"/>
          <w:lang w:val="en-GB" w:eastAsia="de-AT"/>
        </w:rPr>
        <w:t xml:space="preserve">COVID-19 regulation </w:t>
      </w:r>
      <w:r w:rsidR="00470512">
        <w:rPr>
          <w:rFonts w:cstheme="minorHAnsi"/>
          <w:lang w:val="en-GB" w:eastAsia="de-AT"/>
        </w:rPr>
        <w:t>of 15 March 2020</w:t>
      </w:r>
      <w:r w:rsidR="00B17D3A">
        <w:rPr>
          <w:rFonts w:cstheme="minorHAnsi"/>
          <w:lang w:val="en-GB" w:eastAsia="de-AT"/>
        </w:rPr>
        <w:t>,</w:t>
      </w:r>
      <w:r w:rsidR="005C637D">
        <w:rPr>
          <w:rFonts w:cstheme="minorHAnsi"/>
          <w:lang w:val="en-GB" w:eastAsia="de-AT"/>
        </w:rPr>
        <w:t xml:space="preserve"> Federal Law Gazette II No. 98/2020 (hereinafter referred to as "regulation-98"),</w:t>
      </w:r>
      <w:r w:rsidR="00693022">
        <w:rPr>
          <w:rFonts w:cstheme="minorHAnsi"/>
          <w:lang w:val="en-GB" w:eastAsia="de-AT"/>
        </w:rPr>
        <w:t xml:space="preserve"> </w:t>
      </w:r>
      <w:r w:rsidR="007D4121" w:rsidRPr="007D4121">
        <w:rPr>
          <w:rFonts w:eastAsia="Times New Roman" w:cstheme="minorHAnsi"/>
          <w:lang w:val="en-GB" w:eastAsia="de-AT"/>
        </w:rPr>
        <w:t xml:space="preserve">entry into public places was generally forbidden. </w:t>
      </w:r>
      <w:r w:rsidR="005A719E">
        <w:rPr>
          <w:rFonts w:eastAsia="Times New Roman" w:cstheme="minorHAnsi"/>
          <w:lang w:val="en-GB" w:eastAsia="de-AT"/>
        </w:rPr>
        <w:t>§</w:t>
      </w:r>
      <w:r w:rsidR="007D4121" w:rsidRPr="007D4121">
        <w:rPr>
          <w:rFonts w:eastAsia="Times New Roman" w:cstheme="minorHAnsi"/>
          <w:lang w:val="en-GB" w:eastAsia="de-AT"/>
        </w:rPr>
        <w:t xml:space="preserve"> 2 of th</w:t>
      </w:r>
      <w:r w:rsidR="00BD6F82">
        <w:rPr>
          <w:rFonts w:eastAsia="Times New Roman" w:cstheme="minorHAnsi"/>
          <w:lang w:val="en-GB" w:eastAsia="de-AT"/>
        </w:rPr>
        <w:t>at</w:t>
      </w:r>
      <w:r w:rsidR="00693022">
        <w:rPr>
          <w:rFonts w:eastAsia="Times New Roman" w:cstheme="minorHAnsi"/>
          <w:lang w:val="en-GB" w:eastAsia="de-AT"/>
        </w:rPr>
        <w:t xml:space="preserve"> </w:t>
      </w:r>
      <w:r w:rsidR="005A719E">
        <w:rPr>
          <w:rFonts w:eastAsia="Times New Roman" w:cstheme="minorHAnsi"/>
          <w:lang w:val="en-GB" w:eastAsia="de-AT"/>
        </w:rPr>
        <w:t xml:space="preserve">regulation </w:t>
      </w:r>
      <w:r w:rsidR="00503D5F">
        <w:rPr>
          <w:rFonts w:eastAsia="Times New Roman" w:cstheme="minorHAnsi"/>
          <w:lang w:val="en-GB" w:eastAsia="de-AT"/>
        </w:rPr>
        <w:t>included</w:t>
      </w:r>
      <w:r w:rsidR="007D4121" w:rsidRPr="007D4121">
        <w:rPr>
          <w:rFonts w:eastAsia="Times New Roman" w:cstheme="minorHAnsi"/>
          <w:lang w:val="en-GB" w:eastAsia="de-AT"/>
        </w:rPr>
        <w:t xml:space="preserve"> several exceptions to this prohibition</w:t>
      </w:r>
      <w:r w:rsidR="00503D5F">
        <w:rPr>
          <w:rFonts w:eastAsia="Times New Roman" w:cstheme="minorHAnsi"/>
          <w:lang w:val="en-GB" w:eastAsia="de-AT"/>
        </w:rPr>
        <w:t>;</w:t>
      </w:r>
      <w:r w:rsidR="007D4121" w:rsidRPr="007D4121">
        <w:rPr>
          <w:rFonts w:eastAsia="Times New Roman" w:cstheme="minorHAnsi"/>
          <w:lang w:val="en-GB" w:eastAsia="de-AT"/>
        </w:rPr>
        <w:t xml:space="preserve"> for example,</w:t>
      </w:r>
      <w:r w:rsidR="00503D5F">
        <w:rPr>
          <w:rFonts w:eastAsia="Times New Roman" w:cstheme="minorHAnsi"/>
          <w:lang w:val="en-GB" w:eastAsia="de-AT"/>
        </w:rPr>
        <w:t xml:space="preserve"> entry of public places was allowed for the purpose of covering</w:t>
      </w:r>
      <w:r w:rsidR="007D4121" w:rsidRPr="007D4121">
        <w:rPr>
          <w:rFonts w:eastAsia="Times New Roman" w:cstheme="minorHAnsi"/>
          <w:lang w:val="en-GB" w:eastAsia="de-AT"/>
        </w:rPr>
        <w:t xml:space="preserve"> necessary basic needs (</w:t>
      </w:r>
      <w:r w:rsidR="00684F33">
        <w:rPr>
          <w:rFonts w:eastAsia="Times New Roman" w:cstheme="minorHAnsi"/>
          <w:lang w:val="en-GB" w:eastAsia="de-AT"/>
        </w:rPr>
        <w:t>no</w:t>
      </w:r>
      <w:r w:rsidR="007D4121" w:rsidRPr="007D4121">
        <w:rPr>
          <w:rFonts w:eastAsia="Times New Roman" w:cstheme="minorHAnsi"/>
          <w:lang w:val="en-GB" w:eastAsia="de-AT"/>
        </w:rPr>
        <w:t>. 3)</w:t>
      </w:r>
      <w:r w:rsidR="00503D5F">
        <w:rPr>
          <w:rFonts w:eastAsia="Times New Roman" w:cstheme="minorHAnsi"/>
          <w:lang w:val="en-GB" w:eastAsia="de-AT"/>
        </w:rPr>
        <w:t>, and</w:t>
      </w:r>
      <w:r w:rsidR="007D4121" w:rsidRPr="007D4121">
        <w:rPr>
          <w:rFonts w:eastAsia="Times New Roman" w:cstheme="minorHAnsi"/>
          <w:lang w:val="en-GB" w:eastAsia="de-AT"/>
        </w:rPr>
        <w:t xml:space="preserve"> for professional purposes (</w:t>
      </w:r>
      <w:r w:rsidR="00684F33">
        <w:rPr>
          <w:rFonts w:eastAsia="Times New Roman" w:cstheme="minorHAnsi"/>
          <w:lang w:val="en-GB" w:eastAsia="de-AT"/>
        </w:rPr>
        <w:t>no</w:t>
      </w:r>
      <w:r w:rsidR="000F2E7E">
        <w:rPr>
          <w:rFonts w:eastAsia="Times New Roman" w:cstheme="minorHAnsi"/>
          <w:lang w:val="en-GB" w:eastAsia="de-AT"/>
        </w:rPr>
        <w:t>.</w:t>
      </w:r>
      <w:r w:rsidR="00BD6F82">
        <w:rPr>
          <w:rFonts w:eastAsia="Times New Roman" w:cstheme="minorHAnsi"/>
          <w:lang w:val="en-GB" w:eastAsia="de-AT"/>
        </w:rPr>
        <w:t> </w:t>
      </w:r>
      <w:r w:rsidR="007D4121" w:rsidRPr="007D4121">
        <w:rPr>
          <w:rFonts w:eastAsia="Times New Roman" w:cstheme="minorHAnsi"/>
          <w:lang w:val="en-GB" w:eastAsia="de-AT"/>
        </w:rPr>
        <w:t>4)</w:t>
      </w:r>
      <w:r w:rsidR="00503D5F">
        <w:rPr>
          <w:rFonts w:eastAsia="Times New Roman" w:cstheme="minorHAnsi"/>
          <w:lang w:val="en-GB" w:eastAsia="de-AT"/>
        </w:rPr>
        <w:t>; finally, outdoor public places could be entered</w:t>
      </w:r>
      <w:r w:rsidR="000A2E7C">
        <w:rPr>
          <w:rFonts w:eastAsia="Times New Roman" w:cstheme="minorHAnsi"/>
          <w:lang w:val="en-GB" w:eastAsia="de-AT"/>
        </w:rPr>
        <w:t xml:space="preserve"> alone or</w:t>
      </w:r>
      <w:r w:rsidR="007D4121" w:rsidRPr="007D4121">
        <w:rPr>
          <w:rFonts w:eastAsia="Times New Roman" w:cstheme="minorHAnsi"/>
          <w:lang w:val="en-GB" w:eastAsia="de-AT"/>
        </w:rPr>
        <w:t xml:space="preserve"> with people living in the same household</w:t>
      </w:r>
      <w:r w:rsidR="005A719E">
        <w:rPr>
          <w:rFonts w:eastAsia="Times New Roman" w:cstheme="minorHAnsi"/>
          <w:lang w:val="en-GB" w:eastAsia="de-AT"/>
        </w:rPr>
        <w:t xml:space="preserve"> (</w:t>
      </w:r>
      <w:r w:rsidR="00684F33">
        <w:rPr>
          <w:rFonts w:eastAsia="Times New Roman" w:cstheme="minorHAnsi"/>
          <w:lang w:val="en-GB" w:eastAsia="de-AT"/>
        </w:rPr>
        <w:t>no</w:t>
      </w:r>
      <w:r w:rsidR="000F2E7E" w:rsidRPr="007D4121">
        <w:rPr>
          <w:rFonts w:eastAsia="Times New Roman" w:cstheme="minorHAnsi"/>
          <w:lang w:val="en-GB" w:eastAsia="de-AT"/>
        </w:rPr>
        <w:t xml:space="preserve">. </w:t>
      </w:r>
      <w:r w:rsidR="007D4121" w:rsidRPr="007D4121">
        <w:rPr>
          <w:rFonts w:eastAsia="Times New Roman" w:cstheme="minorHAnsi"/>
          <w:lang w:val="en-GB" w:eastAsia="de-AT"/>
        </w:rPr>
        <w:t xml:space="preserve">5). </w:t>
      </w:r>
      <w:r w:rsidR="007B5BCA">
        <w:rPr>
          <w:rFonts w:eastAsia="Times New Roman" w:cstheme="minorHAnsi"/>
          <w:lang w:val="en-GB" w:eastAsia="de-AT"/>
        </w:rPr>
        <w:t>Regulation-98</w:t>
      </w:r>
      <w:r w:rsidR="007D4121" w:rsidRPr="00570CE3">
        <w:rPr>
          <w:rFonts w:eastAsia="Times New Roman" w:cstheme="minorHAnsi"/>
          <w:lang w:val="en-GB" w:eastAsia="de-AT"/>
        </w:rPr>
        <w:t xml:space="preserve"> expired on </w:t>
      </w:r>
      <w:r w:rsidR="00570CE3" w:rsidRPr="00570CE3">
        <w:rPr>
          <w:rFonts w:eastAsia="Times New Roman" w:cstheme="minorHAnsi"/>
          <w:lang w:val="en-GB" w:eastAsia="de-AT"/>
        </w:rPr>
        <w:t xml:space="preserve">30 </w:t>
      </w:r>
      <w:r w:rsidR="007D4121" w:rsidRPr="00570CE3">
        <w:rPr>
          <w:rFonts w:eastAsia="Times New Roman" w:cstheme="minorHAnsi"/>
          <w:lang w:val="en-GB" w:eastAsia="de-AT"/>
        </w:rPr>
        <w:t>April 2020.</w:t>
      </w:r>
      <w:r w:rsidR="009852B9" w:rsidRPr="00570CE3">
        <w:rPr>
          <w:rFonts w:eastAsia="Times New Roman" w:cstheme="minorHAnsi"/>
          <w:lang w:val="en-GB" w:eastAsia="de-AT"/>
        </w:rPr>
        <w:t xml:space="preserve"> </w:t>
      </w:r>
    </w:p>
    <w:p w:rsidR="00ED162C" w:rsidRDefault="009852B9" w:rsidP="000F2E7E">
      <w:pPr>
        <w:spacing w:before="100" w:beforeAutospacing="1" w:after="100" w:afterAutospacing="1" w:line="360" w:lineRule="auto"/>
        <w:jc w:val="both"/>
        <w:rPr>
          <w:rFonts w:eastAsia="Times New Roman" w:cstheme="minorHAnsi"/>
          <w:lang w:val="en-GB" w:eastAsia="de-AT"/>
        </w:rPr>
      </w:pPr>
      <w:r w:rsidRPr="00570CE3">
        <w:rPr>
          <w:rFonts w:eastAsia="Times New Roman" w:cstheme="minorHAnsi"/>
          <w:lang w:val="en-GB" w:eastAsia="de-AT"/>
        </w:rPr>
        <w:t>2.</w:t>
      </w:r>
      <w:r w:rsidR="00F17713" w:rsidRPr="00570CE3">
        <w:rPr>
          <w:rFonts w:cstheme="minorHAnsi"/>
          <w:lang w:val="en-GB"/>
        </w:rPr>
        <w:t xml:space="preserve"> </w:t>
      </w:r>
      <w:r w:rsidR="00F17713" w:rsidRPr="00570CE3">
        <w:rPr>
          <w:rFonts w:cstheme="minorHAnsi"/>
          <w:lang w:val="en-GB"/>
        </w:rPr>
        <w:tab/>
      </w:r>
      <w:r w:rsidR="003A2E23">
        <w:rPr>
          <w:rFonts w:eastAsia="Times New Roman" w:cstheme="minorHAnsi"/>
          <w:lang w:val="en-GB" w:eastAsia="de-AT"/>
        </w:rPr>
        <w:t>In April 2020, an individual</w:t>
      </w:r>
      <w:r w:rsidR="00B17D3A" w:rsidRPr="00570CE3">
        <w:rPr>
          <w:rFonts w:cstheme="minorHAnsi"/>
          <w:lang w:val="en-GB"/>
        </w:rPr>
        <w:t xml:space="preserve"> filed a constitutional complaint</w:t>
      </w:r>
      <w:r w:rsidR="003A2E23">
        <w:rPr>
          <w:rFonts w:cstheme="minorHAnsi"/>
          <w:lang w:val="en-GB"/>
        </w:rPr>
        <w:t xml:space="preserve"> against that regulation</w:t>
      </w:r>
      <w:r w:rsidR="00B17D3A" w:rsidRPr="00570CE3">
        <w:rPr>
          <w:rFonts w:cstheme="minorHAnsi"/>
          <w:lang w:val="en-GB"/>
        </w:rPr>
        <w:t xml:space="preserve">, alleging, in particular, the </w:t>
      </w:r>
      <w:r w:rsidR="0060792B" w:rsidRPr="00570CE3">
        <w:rPr>
          <w:rFonts w:cstheme="minorHAnsi"/>
          <w:lang w:val="en-GB"/>
        </w:rPr>
        <w:t xml:space="preserve">violation of his </w:t>
      </w:r>
      <w:r w:rsidR="0060792B" w:rsidRPr="00570CE3">
        <w:rPr>
          <w:rFonts w:eastAsia="Times New Roman" w:cstheme="minorHAnsi"/>
          <w:lang w:val="en-GB" w:eastAsia="de-AT"/>
        </w:rPr>
        <w:t>right to free movement and to freedom of property</w:t>
      </w:r>
      <w:r w:rsidR="0060792B" w:rsidRPr="00570CE3">
        <w:rPr>
          <w:rFonts w:cstheme="minorHAnsi"/>
          <w:lang w:val="en-GB"/>
        </w:rPr>
        <w:t>. He claim</w:t>
      </w:r>
      <w:r w:rsidR="00503D5F">
        <w:rPr>
          <w:rFonts w:cstheme="minorHAnsi"/>
          <w:lang w:val="en-GB"/>
        </w:rPr>
        <w:t>ed</w:t>
      </w:r>
      <w:r w:rsidR="0060792B" w:rsidRPr="00570CE3">
        <w:rPr>
          <w:rFonts w:cstheme="minorHAnsi"/>
          <w:lang w:val="en-GB"/>
        </w:rPr>
        <w:t xml:space="preserve"> that d</w:t>
      </w:r>
      <w:r w:rsidR="00B17D3A" w:rsidRPr="00570CE3">
        <w:rPr>
          <w:rFonts w:eastAsia="Times New Roman" w:cstheme="minorHAnsi"/>
          <w:lang w:val="en-GB" w:eastAsia="de-AT"/>
        </w:rPr>
        <w:t xml:space="preserve">ue to the COVID-19 situation, he </w:t>
      </w:r>
      <w:r w:rsidR="00503D5F">
        <w:rPr>
          <w:rFonts w:eastAsia="Times New Roman" w:cstheme="minorHAnsi"/>
          <w:lang w:val="en-GB" w:eastAsia="de-AT"/>
        </w:rPr>
        <w:t>had been</w:t>
      </w:r>
      <w:r w:rsidR="00B17D3A" w:rsidRPr="00570CE3">
        <w:rPr>
          <w:rFonts w:eastAsia="Times New Roman" w:cstheme="minorHAnsi"/>
          <w:lang w:val="en-GB" w:eastAsia="de-AT"/>
        </w:rPr>
        <w:t xml:space="preserve"> ordered to do </w:t>
      </w:r>
      <w:r w:rsidR="00570CE3" w:rsidRPr="00570CE3">
        <w:rPr>
          <w:rFonts w:eastAsia="Times New Roman" w:cstheme="minorHAnsi"/>
          <w:lang w:val="en-GB" w:eastAsia="de-AT"/>
        </w:rPr>
        <w:t>home office</w:t>
      </w:r>
      <w:r w:rsidR="007B5BCA">
        <w:rPr>
          <w:rFonts w:eastAsia="Times New Roman" w:cstheme="minorHAnsi"/>
          <w:lang w:val="en-GB" w:eastAsia="de-AT"/>
        </w:rPr>
        <w:t xml:space="preserve"> by his employer</w:t>
      </w:r>
      <w:r w:rsidR="003A2E23">
        <w:rPr>
          <w:rFonts w:eastAsia="Times New Roman" w:cstheme="minorHAnsi"/>
          <w:lang w:val="en-GB" w:eastAsia="de-AT"/>
        </w:rPr>
        <w:t xml:space="preserve">. Therefore, </w:t>
      </w:r>
      <w:r w:rsidR="003A2E23">
        <w:rPr>
          <w:rFonts w:eastAsia="Times New Roman" w:cstheme="minorHAnsi"/>
          <w:lang w:val="en-GB" w:eastAsia="de-AT"/>
        </w:rPr>
        <w:lastRenderedPageBreak/>
        <w:t>the exception of § </w:t>
      </w:r>
      <w:r w:rsidR="00B17D3A" w:rsidRPr="00570CE3">
        <w:rPr>
          <w:rFonts w:eastAsia="Times New Roman" w:cstheme="minorHAnsi"/>
          <w:lang w:val="en-GB" w:eastAsia="de-AT"/>
        </w:rPr>
        <w:t xml:space="preserve">2 </w:t>
      </w:r>
      <w:r w:rsidR="00684F33">
        <w:rPr>
          <w:rFonts w:eastAsia="Times New Roman" w:cstheme="minorHAnsi"/>
          <w:lang w:val="en-GB" w:eastAsia="de-AT"/>
        </w:rPr>
        <w:t>no</w:t>
      </w:r>
      <w:r w:rsidR="00B17D3A" w:rsidRPr="00570CE3">
        <w:rPr>
          <w:rFonts w:eastAsia="Times New Roman" w:cstheme="minorHAnsi"/>
          <w:lang w:val="en-GB" w:eastAsia="de-AT"/>
        </w:rPr>
        <w:t xml:space="preserve">. 4 </w:t>
      </w:r>
      <w:r w:rsidR="00570CE3" w:rsidRPr="00570CE3">
        <w:rPr>
          <w:rFonts w:eastAsia="Times New Roman" w:cstheme="minorHAnsi"/>
          <w:lang w:val="en-GB" w:eastAsia="de-AT"/>
        </w:rPr>
        <w:t xml:space="preserve">of </w:t>
      </w:r>
      <w:r w:rsidR="00BD6F82">
        <w:rPr>
          <w:rFonts w:eastAsia="Times New Roman" w:cstheme="minorHAnsi"/>
          <w:lang w:val="en-GB" w:eastAsia="de-AT"/>
        </w:rPr>
        <w:t xml:space="preserve">the </w:t>
      </w:r>
      <w:r w:rsidR="00570CE3" w:rsidRPr="00570CE3">
        <w:rPr>
          <w:rFonts w:cstheme="minorHAnsi"/>
          <w:lang w:val="en-GB" w:eastAsia="de-AT"/>
        </w:rPr>
        <w:t>regulation</w:t>
      </w:r>
      <w:r w:rsidR="005C637D">
        <w:rPr>
          <w:rFonts w:cstheme="minorHAnsi"/>
          <w:lang w:val="en-GB" w:eastAsia="de-AT"/>
        </w:rPr>
        <w:t>-98</w:t>
      </w:r>
      <w:r w:rsidR="00570CE3" w:rsidRPr="00570CE3">
        <w:rPr>
          <w:rFonts w:cstheme="minorHAnsi"/>
          <w:lang w:val="en-GB" w:eastAsia="de-AT"/>
        </w:rPr>
        <w:t xml:space="preserve"> </w:t>
      </w:r>
      <w:r w:rsidR="00B17D3A" w:rsidRPr="00570CE3">
        <w:rPr>
          <w:rFonts w:eastAsia="Times New Roman" w:cstheme="minorHAnsi"/>
          <w:lang w:val="en-GB" w:eastAsia="de-AT"/>
        </w:rPr>
        <w:t>did not apply to him.</w:t>
      </w:r>
      <w:r w:rsidR="007D4121" w:rsidRPr="00570CE3">
        <w:rPr>
          <w:rFonts w:eastAsia="Times New Roman" w:cstheme="minorHAnsi"/>
          <w:lang w:val="en-GB" w:eastAsia="de-AT"/>
        </w:rPr>
        <w:t xml:space="preserve"> </w:t>
      </w:r>
      <w:r w:rsidR="0060792B" w:rsidRPr="00570CE3">
        <w:rPr>
          <w:rFonts w:eastAsia="Times New Roman" w:cstheme="minorHAnsi"/>
          <w:lang w:val="en-GB" w:eastAsia="de-AT"/>
        </w:rPr>
        <w:t xml:space="preserve">He </w:t>
      </w:r>
      <w:r w:rsidR="007B5BCA">
        <w:rPr>
          <w:rFonts w:eastAsia="Times New Roman" w:cstheme="minorHAnsi"/>
          <w:lang w:val="en-GB" w:eastAsia="de-AT"/>
        </w:rPr>
        <w:t>was allowed to</w:t>
      </w:r>
      <w:r w:rsidR="0060792B" w:rsidRPr="00570CE3">
        <w:rPr>
          <w:rFonts w:eastAsia="Times New Roman" w:cstheme="minorHAnsi"/>
          <w:lang w:val="en-GB" w:eastAsia="de-AT"/>
        </w:rPr>
        <w:t xml:space="preserve"> leav</w:t>
      </w:r>
      <w:r w:rsidR="007D4121" w:rsidRPr="00570CE3">
        <w:rPr>
          <w:rFonts w:eastAsia="Times New Roman" w:cstheme="minorHAnsi"/>
          <w:lang w:val="en-GB" w:eastAsia="de-AT"/>
        </w:rPr>
        <w:t xml:space="preserve">e </w:t>
      </w:r>
      <w:r w:rsidR="007B5BCA">
        <w:rPr>
          <w:rFonts w:eastAsia="Times New Roman" w:cstheme="minorHAnsi"/>
          <w:lang w:val="en-GB" w:eastAsia="de-AT"/>
        </w:rPr>
        <w:t>his home to go for a walk</w:t>
      </w:r>
      <w:r w:rsidR="007D4121" w:rsidRPr="00570CE3">
        <w:rPr>
          <w:rFonts w:eastAsia="Times New Roman" w:cstheme="minorHAnsi"/>
          <w:lang w:val="en-GB" w:eastAsia="de-AT"/>
        </w:rPr>
        <w:t xml:space="preserve"> </w:t>
      </w:r>
      <w:r w:rsidR="007B5BCA">
        <w:rPr>
          <w:rFonts w:eastAsia="Times New Roman" w:cstheme="minorHAnsi"/>
          <w:lang w:val="en-GB" w:eastAsia="de-AT"/>
        </w:rPr>
        <w:t>according to</w:t>
      </w:r>
      <w:r w:rsidR="007D4121" w:rsidRPr="00570CE3">
        <w:rPr>
          <w:rFonts w:eastAsia="Times New Roman" w:cstheme="minorHAnsi"/>
          <w:lang w:val="en-GB" w:eastAsia="de-AT"/>
        </w:rPr>
        <w:t xml:space="preserve"> </w:t>
      </w:r>
      <w:r w:rsidR="0060792B" w:rsidRPr="00570CE3">
        <w:rPr>
          <w:rFonts w:eastAsia="Times New Roman" w:cstheme="minorHAnsi"/>
          <w:lang w:val="en-GB" w:eastAsia="de-AT"/>
        </w:rPr>
        <w:t xml:space="preserve">§ 2 </w:t>
      </w:r>
      <w:r w:rsidR="00684F33">
        <w:rPr>
          <w:rFonts w:eastAsia="Times New Roman" w:cstheme="minorHAnsi"/>
          <w:lang w:val="en-GB" w:eastAsia="de-AT"/>
        </w:rPr>
        <w:t>no</w:t>
      </w:r>
      <w:r w:rsidR="000F2E7E" w:rsidRPr="00570CE3">
        <w:rPr>
          <w:rFonts w:eastAsia="Times New Roman" w:cstheme="minorHAnsi"/>
          <w:lang w:val="en-GB" w:eastAsia="de-AT"/>
        </w:rPr>
        <w:t xml:space="preserve">. </w:t>
      </w:r>
      <w:r w:rsidR="007D4121" w:rsidRPr="00570CE3">
        <w:rPr>
          <w:rFonts w:eastAsia="Times New Roman" w:cstheme="minorHAnsi"/>
          <w:lang w:val="en-GB" w:eastAsia="de-AT"/>
        </w:rPr>
        <w:t xml:space="preserve">5 </w:t>
      </w:r>
      <w:r w:rsidR="00570CE3" w:rsidRPr="00570CE3">
        <w:rPr>
          <w:rFonts w:eastAsia="Times New Roman" w:cstheme="minorHAnsi"/>
          <w:lang w:val="en-GB" w:eastAsia="de-AT"/>
        </w:rPr>
        <w:t xml:space="preserve">of the regulation </w:t>
      </w:r>
      <w:r w:rsidR="0060792B" w:rsidRPr="00570CE3">
        <w:rPr>
          <w:rFonts w:eastAsia="Times New Roman" w:cstheme="minorHAnsi"/>
          <w:lang w:val="en-GB" w:eastAsia="de-AT"/>
        </w:rPr>
        <w:t xml:space="preserve">but he could not get to his </w:t>
      </w:r>
      <w:r w:rsidR="002769B5" w:rsidRPr="00570CE3">
        <w:rPr>
          <w:rFonts w:eastAsia="Times New Roman" w:cstheme="minorHAnsi"/>
          <w:lang w:val="en-GB" w:eastAsia="de-AT"/>
        </w:rPr>
        <w:t xml:space="preserve">rented </w:t>
      </w:r>
      <w:r w:rsidR="0060792B" w:rsidRPr="00570CE3">
        <w:rPr>
          <w:rFonts w:eastAsia="Times New Roman" w:cstheme="minorHAnsi"/>
          <w:lang w:val="en-GB" w:eastAsia="de-AT"/>
        </w:rPr>
        <w:t>apartment in Vienna</w:t>
      </w:r>
      <w:r w:rsidR="00570CE3" w:rsidRPr="00570CE3">
        <w:rPr>
          <w:rFonts w:eastAsia="Times New Roman" w:cstheme="minorHAnsi"/>
          <w:lang w:val="en-GB" w:eastAsia="de-AT"/>
        </w:rPr>
        <w:t xml:space="preserve"> because </w:t>
      </w:r>
      <w:r w:rsidR="0060792B" w:rsidRPr="00570CE3">
        <w:rPr>
          <w:rFonts w:eastAsia="Times New Roman" w:cstheme="minorHAnsi"/>
          <w:lang w:val="en-GB" w:eastAsia="de-AT"/>
        </w:rPr>
        <w:t xml:space="preserve">he would need to use </w:t>
      </w:r>
      <w:r w:rsidR="007D4121" w:rsidRPr="00570CE3">
        <w:rPr>
          <w:rFonts w:eastAsia="Times New Roman" w:cstheme="minorHAnsi"/>
          <w:lang w:val="en-GB" w:eastAsia="de-AT"/>
        </w:rPr>
        <w:t xml:space="preserve">public transport. However, </w:t>
      </w:r>
      <w:r w:rsidR="002769B5" w:rsidRPr="00570CE3">
        <w:rPr>
          <w:rFonts w:eastAsia="Times New Roman" w:cstheme="minorHAnsi"/>
          <w:lang w:val="en-GB" w:eastAsia="de-AT"/>
        </w:rPr>
        <w:t xml:space="preserve">pursuant to § 4 of the regulation, </w:t>
      </w:r>
      <w:r w:rsidR="007D4121" w:rsidRPr="00570CE3">
        <w:rPr>
          <w:rFonts w:eastAsia="Times New Roman" w:cstheme="minorHAnsi"/>
          <w:lang w:val="en-GB" w:eastAsia="de-AT"/>
        </w:rPr>
        <w:t>th</w:t>
      </w:r>
      <w:r w:rsidR="002769B5" w:rsidRPr="00570CE3">
        <w:rPr>
          <w:rFonts w:eastAsia="Times New Roman" w:cstheme="minorHAnsi"/>
          <w:lang w:val="en-GB" w:eastAsia="de-AT"/>
        </w:rPr>
        <w:t xml:space="preserve">is </w:t>
      </w:r>
      <w:r w:rsidR="003A2E23">
        <w:rPr>
          <w:rFonts w:eastAsia="Times New Roman" w:cstheme="minorHAnsi"/>
          <w:lang w:val="en-GB" w:eastAsia="de-AT"/>
        </w:rPr>
        <w:t>was</w:t>
      </w:r>
      <w:r w:rsidR="002769B5" w:rsidRPr="00570CE3">
        <w:rPr>
          <w:rFonts w:eastAsia="Times New Roman" w:cstheme="minorHAnsi"/>
          <w:lang w:val="en-GB" w:eastAsia="de-AT"/>
        </w:rPr>
        <w:t xml:space="preserve"> not permitted for exceptions </w:t>
      </w:r>
      <w:r w:rsidR="000A2E7C">
        <w:rPr>
          <w:rFonts w:eastAsia="Times New Roman" w:cstheme="minorHAnsi"/>
          <w:lang w:val="en-GB" w:eastAsia="de-AT"/>
        </w:rPr>
        <w:t>stipulated in</w:t>
      </w:r>
      <w:r w:rsidR="002769B5" w:rsidRPr="00570CE3">
        <w:rPr>
          <w:rFonts w:eastAsia="Times New Roman" w:cstheme="minorHAnsi"/>
          <w:lang w:val="en-GB" w:eastAsia="de-AT"/>
        </w:rPr>
        <w:t xml:space="preserve"> </w:t>
      </w:r>
      <w:r w:rsidR="00684F33">
        <w:rPr>
          <w:rFonts w:eastAsia="Times New Roman" w:cstheme="minorHAnsi"/>
          <w:lang w:val="en-GB" w:eastAsia="de-AT"/>
        </w:rPr>
        <w:t>no</w:t>
      </w:r>
      <w:r w:rsidR="002769B5" w:rsidRPr="00570CE3">
        <w:rPr>
          <w:rFonts w:eastAsia="Times New Roman" w:cstheme="minorHAnsi"/>
          <w:lang w:val="en-GB" w:eastAsia="de-AT"/>
        </w:rPr>
        <w:t xml:space="preserve">. 5 </w:t>
      </w:r>
      <w:r w:rsidR="000A2E7C">
        <w:rPr>
          <w:rFonts w:eastAsia="Times New Roman" w:cstheme="minorHAnsi"/>
          <w:lang w:val="en-GB" w:eastAsia="de-AT"/>
        </w:rPr>
        <w:t xml:space="preserve">of </w:t>
      </w:r>
      <w:r w:rsidR="000A2E7C" w:rsidRPr="000A2E7C">
        <w:rPr>
          <w:rFonts w:eastAsia="Times New Roman" w:cstheme="minorHAnsi"/>
          <w:lang w:val="en-GB" w:eastAsia="de-AT"/>
        </w:rPr>
        <w:t xml:space="preserve">§ 2 </w:t>
      </w:r>
      <w:r w:rsidR="00ED162C" w:rsidRPr="000A2E7C">
        <w:rPr>
          <w:rFonts w:eastAsia="Times New Roman" w:cstheme="minorHAnsi"/>
          <w:lang w:val="en-GB" w:eastAsia="de-AT"/>
        </w:rPr>
        <w:t>(only</w:t>
      </w:r>
      <w:r w:rsidR="00B95397" w:rsidRPr="000A2E7C">
        <w:rPr>
          <w:lang w:val="en-GB"/>
        </w:rPr>
        <w:t xml:space="preserve"> </w:t>
      </w:r>
      <w:r w:rsidR="00570CE3" w:rsidRPr="000A2E7C">
        <w:rPr>
          <w:rFonts w:eastAsia="Times New Roman" w:cstheme="minorHAnsi"/>
          <w:lang w:val="en-GB" w:eastAsia="de-AT"/>
        </w:rPr>
        <w:t>for</w:t>
      </w:r>
      <w:r w:rsidR="00ED162C" w:rsidRPr="000A2E7C">
        <w:rPr>
          <w:rFonts w:eastAsia="Times New Roman" w:cstheme="minorHAnsi"/>
          <w:lang w:val="en-GB" w:eastAsia="de-AT"/>
        </w:rPr>
        <w:t xml:space="preserve"> </w:t>
      </w:r>
      <w:r w:rsidR="00684F33">
        <w:rPr>
          <w:rFonts w:eastAsia="Times New Roman" w:cstheme="minorHAnsi"/>
          <w:lang w:val="en-GB" w:eastAsia="de-AT"/>
        </w:rPr>
        <w:t>nos.</w:t>
      </w:r>
      <w:r w:rsidR="00ED162C" w:rsidRPr="000A2E7C">
        <w:rPr>
          <w:rFonts w:eastAsia="Times New Roman" w:cstheme="minorHAnsi"/>
          <w:lang w:val="en-GB" w:eastAsia="de-AT"/>
        </w:rPr>
        <w:t xml:space="preserve"> 1 to 4). </w:t>
      </w:r>
    </w:p>
    <w:p w:rsidR="007706BE" w:rsidRPr="007D4121" w:rsidRDefault="002769B5" w:rsidP="007706BE">
      <w:pPr>
        <w:spacing w:before="100" w:beforeAutospacing="1" w:after="100" w:afterAutospacing="1" w:line="360" w:lineRule="auto"/>
        <w:jc w:val="both"/>
        <w:rPr>
          <w:rFonts w:cstheme="minorHAnsi"/>
          <w:lang w:val="en-GB"/>
        </w:rPr>
      </w:pPr>
      <w:r w:rsidRPr="007D4121">
        <w:rPr>
          <w:rFonts w:eastAsia="Times New Roman" w:cstheme="minorHAnsi"/>
          <w:lang w:val="en-GB" w:eastAsia="de-AT"/>
        </w:rPr>
        <w:t>The applicant</w:t>
      </w:r>
      <w:r w:rsidR="003A2E23">
        <w:rPr>
          <w:rFonts w:eastAsia="Times New Roman" w:cstheme="minorHAnsi"/>
          <w:lang w:val="en-GB" w:eastAsia="de-AT"/>
        </w:rPr>
        <w:t>, a university assistant,</w:t>
      </w:r>
      <w:r w:rsidRPr="007D4121">
        <w:rPr>
          <w:rFonts w:eastAsia="Times New Roman" w:cstheme="minorHAnsi"/>
          <w:lang w:val="en-GB" w:eastAsia="de-AT"/>
        </w:rPr>
        <w:t xml:space="preserve"> </w:t>
      </w:r>
      <w:r>
        <w:rPr>
          <w:rFonts w:eastAsia="Times New Roman" w:cstheme="minorHAnsi"/>
          <w:lang w:val="en-GB" w:eastAsia="de-AT"/>
        </w:rPr>
        <w:t xml:space="preserve">also </w:t>
      </w:r>
      <w:r w:rsidR="005071D5">
        <w:rPr>
          <w:rFonts w:eastAsia="Times New Roman" w:cstheme="minorHAnsi"/>
          <w:lang w:val="en-GB" w:eastAsia="de-AT"/>
        </w:rPr>
        <w:t>claim</w:t>
      </w:r>
      <w:r w:rsidR="00503D5F">
        <w:rPr>
          <w:rFonts w:eastAsia="Times New Roman" w:cstheme="minorHAnsi"/>
          <w:lang w:val="en-GB" w:eastAsia="de-AT"/>
        </w:rPr>
        <w:t>ed</w:t>
      </w:r>
      <w:r w:rsidR="005071D5">
        <w:rPr>
          <w:rFonts w:eastAsia="Times New Roman" w:cstheme="minorHAnsi"/>
          <w:lang w:val="en-GB" w:eastAsia="de-AT"/>
        </w:rPr>
        <w:t xml:space="preserve"> that </w:t>
      </w:r>
      <w:r w:rsidR="00570CE3">
        <w:rPr>
          <w:rFonts w:cstheme="minorHAnsi"/>
          <w:lang w:val="en-GB"/>
        </w:rPr>
        <w:t>he c</w:t>
      </w:r>
      <w:r w:rsidR="00503D5F">
        <w:rPr>
          <w:rFonts w:cstheme="minorHAnsi"/>
          <w:lang w:val="en-GB"/>
        </w:rPr>
        <w:t>ould</w:t>
      </w:r>
      <w:r w:rsidR="00570CE3">
        <w:rPr>
          <w:rFonts w:cstheme="minorHAnsi"/>
          <w:lang w:val="en-GB"/>
        </w:rPr>
        <w:t xml:space="preserve"> only fulfi</w:t>
      </w:r>
      <w:r>
        <w:rPr>
          <w:rFonts w:cstheme="minorHAnsi"/>
          <w:lang w:val="en-GB"/>
        </w:rPr>
        <w:t xml:space="preserve">l </w:t>
      </w:r>
      <w:r w:rsidRPr="007D4121">
        <w:rPr>
          <w:rFonts w:cstheme="minorHAnsi"/>
          <w:lang w:val="en-GB"/>
        </w:rPr>
        <w:t xml:space="preserve">his </w:t>
      </w:r>
      <w:r w:rsidRPr="002769B5">
        <w:rPr>
          <w:rFonts w:cstheme="minorHAnsi"/>
          <w:lang w:val="en-GB"/>
        </w:rPr>
        <w:t xml:space="preserve">professional </w:t>
      </w:r>
      <w:r w:rsidRPr="007D4121">
        <w:rPr>
          <w:rFonts w:cstheme="minorHAnsi"/>
          <w:lang w:val="en-GB"/>
        </w:rPr>
        <w:t>duties</w:t>
      </w:r>
      <w:r>
        <w:rPr>
          <w:rFonts w:cstheme="minorHAnsi"/>
          <w:lang w:val="en-GB"/>
        </w:rPr>
        <w:t>, which</w:t>
      </w:r>
      <w:r w:rsidRPr="007D4121">
        <w:rPr>
          <w:rFonts w:cstheme="minorHAnsi"/>
          <w:lang w:val="en-GB"/>
        </w:rPr>
        <w:t xml:space="preserve"> i</w:t>
      </w:r>
      <w:r>
        <w:rPr>
          <w:rFonts w:cstheme="minorHAnsi"/>
          <w:lang w:val="en-GB"/>
        </w:rPr>
        <w:t>nclude writing a dissertation,</w:t>
      </w:r>
      <w:r w:rsidRPr="007D4121">
        <w:rPr>
          <w:rFonts w:cstheme="minorHAnsi"/>
          <w:lang w:val="en-GB"/>
        </w:rPr>
        <w:t xml:space="preserve"> to a very limited extent</w:t>
      </w:r>
      <w:r>
        <w:rPr>
          <w:rFonts w:cstheme="minorHAnsi"/>
          <w:lang w:val="en-GB"/>
        </w:rPr>
        <w:t xml:space="preserve"> </w:t>
      </w:r>
      <w:r w:rsidRPr="00433244">
        <w:rPr>
          <w:rFonts w:ascii="Arial" w:hAnsi="Arial" w:cs="Arial"/>
          <w:color w:val="4D5156"/>
          <w:sz w:val="21"/>
          <w:szCs w:val="21"/>
          <w:shd w:val="clear" w:color="auto" w:fill="FFFFFF"/>
          <w:lang w:val="en-GB"/>
        </w:rPr>
        <w:t>–</w:t>
      </w:r>
      <w:r w:rsidRPr="007D4121">
        <w:rPr>
          <w:rFonts w:cstheme="minorHAnsi"/>
          <w:lang w:val="en-GB"/>
        </w:rPr>
        <w:t xml:space="preserve"> in particular </w:t>
      </w:r>
      <w:r>
        <w:rPr>
          <w:rFonts w:cstheme="minorHAnsi"/>
          <w:lang w:val="en-GB"/>
        </w:rPr>
        <w:t xml:space="preserve">because </w:t>
      </w:r>
      <w:r w:rsidRPr="007D4121">
        <w:rPr>
          <w:rFonts w:cstheme="minorHAnsi"/>
          <w:lang w:val="en-GB"/>
        </w:rPr>
        <w:t xml:space="preserve">he </w:t>
      </w:r>
      <w:r w:rsidR="00503D5F">
        <w:rPr>
          <w:rFonts w:cstheme="minorHAnsi"/>
          <w:lang w:val="en-GB"/>
        </w:rPr>
        <w:t>was</w:t>
      </w:r>
      <w:r w:rsidRPr="007D4121">
        <w:rPr>
          <w:rFonts w:cstheme="minorHAnsi"/>
          <w:lang w:val="en-GB"/>
        </w:rPr>
        <w:t xml:space="preserve"> denied the use of the university's library. </w:t>
      </w:r>
      <w:r>
        <w:rPr>
          <w:rFonts w:cstheme="minorHAnsi"/>
          <w:lang w:val="en-GB"/>
        </w:rPr>
        <w:t xml:space="preserve">Therefore, </w:t>
      </w:r>
      <w:r>
        <w:rPr>
          <w:rFonts w:eastAsia="Times New Roman" w:cstheme="minorHAnsi"/>
          <w:lang w:val="en-GB" w:eastAsia="de-AT"/>
        </w:rPr>
        <w:t>§</w:t>
      </w:r>
      <w:r w:rsidR="007D4121" w:rsidRPr="007D4121">
        <w:rPr>
          <w:rFonts w:cstheme="minorHAnsi"/>
          <w:lang w:val="en-GB"/>
        </w:rPr>
        <w:t xml:space="preserve"> 1, </w:t>
      </w:r>
      <w:r>
        <w:rPr>
          <w:rFonts w:cstheme="minorHAnsi"/>
          <w:lang w:val="en-GB"/>
        </w:rPr>
        <w:t xml:space="preserve">§ </w:t>
      </w:r>
      <w:r w:rsidR="007D4121" w:rsidRPr="007D4121">
        <w:rPr>
          <w:rFonts w:cstheme="minorHAnsi"/>
          <w:lang w:val="en-GB"/>
        </w:rPr>
        <w:t xml:space="preserve">2 and </w:t>
      </w:r>
      <w:r>
        <w:rPr>
          <w:rFonts w:cstheme="minorHAnsi"/>
          <w:lang w:val="en-GB"/>
        </w:rPr>
        <w:t xml:space="preserve">§ </w:t>
      </w:r>
      <w:r w:rsidR="007D4121" w:rsidRPr="007D4121">
        <w:rPr>
          <w:rFonts w:cstheme="minorHAnsi"/>
          <w:lang w:val="en-GB"/>
        </w:rPr>
        <w:t xml:space="preserve">4 of the </w:t>
      </w:r>
      <w:r w:rsidR="005071D5" w:rsidRPr="007D4121">
        <w:rPr>
          <w:rFonts w:eastAsia="Times New Roman" w:cstheme="minorHAnsi"/>
          <w:lang w:val="en-GB" w:eastAsia="de-AT"/>
        </w:rPr>
        <w:t>regulation</w:t>
      </w:r>
      <w:r w:rsidR="005C637D">
        <w:rPr>
          <w:rFonts w:eastAsia="Times New Roman" w:cstheme="minorHAnsi"/>
          <w:lang w:val="en-GB" w:eastAsia="de-AT"/>
        </w:rPr>
        <w:t>-98</w:t>
      </w:r>
      <w:r w:rsidR="005071D5" w:rsidRPr="007D4121">
        <w:rPr>
          <w:rFonts w:cstheme="minorHAnsi"/>
          <w:lang w:val="en-GB"/>
        </w:rPr>
        <w:t xml:space="preserve"> </w:t>
      </w:r>
      <w:r w:rsidR="007D4121" w:rsidRPr="007D4121">
        <w:rPr>
          <w:rFonts w:cstheme="minorHAnsi"/>
          <w:lang w:val="en-GB"/>
        </w:rPr>
        <w:t>also affect</w:t>
      </w:r>
      <w:r w:rsidR="00503D5F">
        <w:rPr>
          <w:rFonts w:cstheme="minorHAnsi"/>
          <w:lang w:val="en-GB"/>
        </w:rPr>
        <w:t>ed his right to</w:t>
      </w:r>
      <w:r w:rsidR="007D4121" w:rsidRPr="007D4121">
        <w:rPr>
          <w:rFonts w:cstheme="minorHAnsi"/>
          <w:lang w:val="en-GB"/>
        </w:rPr>
        <w:t xml:space="preserve"> freedom of employment</w:t>
      </w:r>
      <w:r>
        <w:rPr>
          <w:rFonts w:cstheme="minorHAnsi"/>
          <w:lang w:val="en-GB"/>
        </w:rPr>
        <w:t>.</w:t>
      </w:r>
    </w:p>
    <w:p w:rsidR="00F263F7" w:rsidRDefault="002769B5" w:rsidP="000F2E7E">
      <w:pPr>
        <w:spacing w:before="100" w:beforeAutospacing="1" w:after="100" w:afterAutospacing="1" w:line="360" w:lineRule="auto"/>
        <w:jc w:val="both"/>
        <w:rPr>
          <w:rFonts w:cstheme="minorHAnsi"/>
          <w:lang w:val="en-GB"/>
        </w:rPr>
      </w:pPr>
      <w:r>
        <w:rPr>
          <w:rFonts w:cstheme="minorHAnsi"/>
          <w:lang w:val="en-GB"/>
        </w:rPr>
        <w:t>3</w:t>
      </w:r>
      <w:r w:rsidR="00C33265" w:rsidRPr="005071D5">
        <w:rPr>
          <w:rFonts w:cstheme="minorHAnsi"/>
          <w:lang w:val="en-GB"/>
        </w:rPr>
        <w:t>.</w:t>
      </w:r>
      <w:r w:rsidR="00F17713" w:rsidRPr="00F17713">
        <w:rPr>
          <w:lang w:val="en-GB"/>
        </w:rPr>
        <w:t xml:space="preserve"> </w:t>
      </w:r>
      <w:r w:rsidR="00F17713" w:rsidRPr="00EC3074">
        <w:rPr>
          <w:lang w:val="en-GB"/>
        </w:rPr>
        <w:tab/>
      </w:r>
      <w:r w:rsidRPr="00570CE3">
        <w:rPr>
          <w:rFonts w:cstheme="minorHAnsi"/>
          <w:lang w:val="en-GB"/>
        </w:rPr>
        <w:t xml:space="preserve">At </w:t>
      </w:r>
      <w:r w:rsidRPr="00570CE3">
        <w:rPr>
          <w:rFonts w:cstheme="minorHAnsi"/>
          <w:lang w:val="en-GB" w:eastAsia="de-AT"/>
        </w:rPr>
        <w:t xml:space="preserve">the time of the </w:t>
      </w:r>
      <w:r w:rsidRPr="00570CE3">
        <w:rPr>
          <w:rFonts w:cstheme="minorHAnsi"/>
          <w:lang w:val="en-GB"/>
        </w:rPr>
        <w:t xml:space="preserve">Constitutional </w:t>
      </w:r>
      <w:r w:rsidRPr="00570CE3">
        <w:rPr>
          <w:rFonts w:cstheme="minorHAnsi"/>
          <w:lang w:val="en-GB" w:eastAsia="de-AT"/>
        </w:rPr>
        <w:t xml:space="preserve">Court's </w:t>
      </w:r>
      <w:r w:rsidR="00503D5F">
        <w:rPr>
          <w:rFonts w:cstheme="minorHAnsi"/>
          <w:lang w:val="en-GB" w:eastAsia="de-AT"/>
        </w:rPr>
        <w:t>judgment</w:t>
      </w:r>
      <w:r w:rsidRPr="00570CE3">
        <w:rPr>
          <w:rFonts w:cstheme="minorHAnsi"/>
          <w:lang w:val="en-GB" w:eastAsia="de-AT"/>
        </w:rPr>
        <w:t>,</w:t>
      </w:r>
      <w:r w:rsidR="00CC208D">
        <w:rPr>
          <w:rFonts w:cstheme="minorHAnsi"/>
          <w:lang w:val="en-GB" w:eastAsia="de-AT"/>
        </w:rPr>
        <w:t xml:space="preserve"> the</w:t>
      </w:r>
      <w:r w:rsidR="00BD6F82">
        <w:rPr>
          <w:rFonts w:cstheme="minorHAnsi"/>
          <w:lang w:val="en-GB" w:eastAsia="de-AT"/>
        </w:rPr>
        <w:t xml:space="preserve"> measures under</w:t>
      </w:r>
      <w:r w:rsidR="00CC208D">
        <w:rPr>
          <w:rFonts w:cstheme="minorHAnsi"/>
          <w:lang w:val="en-GB" w:eastAsia="de-AT"/>
        </w:rPr>
        <w:t xml:space="preserve"> </w:t>
      </w:r>
      <w:r w:rsidR="00503D5F">
        <w:rPr>
          <w:rFonts w:cstheme="minorHAnsi"/>
          <w:lang w:val="en-GB" w:eastAsia="de-AT"/>
        </w:rPr>
        <w:t>regulation</w:t>
      </w:r>
      <w:r w:rsidR="005C637D">
        <w:rPr>
          <w:rFonts w:cstheme="minorHAnsi"/>
          <w:lang w:val="en-GB" w:eastAsia="de-AT"/>
        </w:rPr>
        <w:t>-98</w:t>
      </w:r>
      <w:r w:rsidRPr="00570CE3">
        <w:rPr>
          <w:rFonts w:cstheme="minorHAnsi"/>
          <w:lang w:val="en-GB" w:eastAsia="de-AT"/>
        </w:rPr>
        <w:t xml:space="preserve"> had already expired. </w:t>
      </w:r>
      <w:r w:rsidR="00684F33">
        <w:rPr>
          <w:rFonts w:cstheme="minorHAnsi"/>
          <w:lang w:val="en-GB" w:eastAsia="de-AT"/>
        </w:rPr>
        <w:t xml:space="preserve">However, </w:t>
      </w:r>
      <w:r w:rsidR="007D4121" w:rsidRPr="00570CE3">
        <w:rPr>
          <w:rFonts w:cstheme="minorHAnsi"/>
          <w:lang w:val="en-GB"/>
        </w:rPr>
        <w:t xml:space="preserve">the </w:t>
      </w:r>
      <w:r w:rsidRPr="00570CE3">
        <w:rPr>
          <w:rFonts w:cstheme="minorHAnsi"/>
          <w:lang w:val="en-GB"/>
        </w:rPr>
        <w:t>Constitutional Court</w:t>
      </w:r>
      <w:r w:rsidR="00CC208D">
        <w:rPr>
          <w:rFonts w:cstheme="minorHAnsi"/>
          <w:lang w:val="en-GB"/>
        </w:rPr>
        <w:t>, developing its case law,</w:t>
      </w:r>
      <w:r w:rsidRPr="00570CE3">
        <w:rPr>
          <w:rFonts w:cstheme="minorHAnsi"/>
          <w:lang w:val="en-GB"/>
        </w:rPr>
        <w:t xml:space="preserve"> </w:t>
      </w:r>
      <w:r w:rsidR="007D4121" w:rsidRPr="00570CE3">
        <w:rPr>
          <w:rFonts w:cstheme="minorHAnsi"/>
          <w:lang w:val="en-GB"/>
        </w:rPr>
        <w:t xml:space="preserve">found that the legal interest of an applicant to </w:t>
      </w:r>
      <w:r w:rsidR="00F263F7" w:rsidRPr="00570CE3">
        <w:rPr>
          <w:rFonts w:cstheme="minorHAnsi"/>
          <w:lang w:val="en-GB" w:eastAsia="de-AT"/>
        </w:rPr>
        <w:t xml:space="preserve">obtain </w:t>
      </w:r>
      <w:r w:rsidR="007D4121" w:rsidRPr="005071D5">
        <w:rPr>
          <w:rFonts w:cstheme="minorHAnsi"/>
          <w:lang w:val="en-GB"/>
        </w:rPr>
        <w:t xml:space="preserve">a binding decision on the </w:t>
      </w:r>
      <w:r w:rsidR="003A2E23">
        <w:rPr>
          <w:rFonts w:cstheme="minorHAnsi"/>
          <w:lang w:val="en-GB"/>
        </w:rPr>
        <w:t>constitutionality</w:t>
      </w:r>
      <w:r w:rsidR="007D4121" w:rsidRPr="005071D5">
        <w:rPr>
          <w:rFonts w:cstheme="minorHAnsi"/>
          <w:lang w:val="en-GB"/>
        </w:rPr>
        <w:t xml:space="preserve"> of </w:t>
      </w:r>
      <w:r w:rsidR="00684F33">
        <w:rPr>
          <w:rFonts w:cstheme="minorHAnsi"/>
          <w:lang w:val="en-GB"/>
        </w:rPr>
        <w:t xml:space="preserve">a </w:t>
      </w:r>
      <w:r w:rsidR="007D4121" w:rsidRPr="005071D5">
        <w:rPr>
          <w:rFonts w:cstheme="minorHAnsi"/>
          <w:lang w:val="en-GB"/>
        </w:rPr>
        <w:t xml:space="preserve">provision can extend beyond the relatively short period in which the provision </w:t>
      </w:r>
      <w:r w:rsidR="00684F33">
        <w:rPr>
          <w:rFonts w:cstheme="minorHAnsi"/>
          <w:lang w:val="en-GB"/>
        </w:rPr>
        <w:t>has been</w:t>
      </w:r>
      <w:r w:rsidR="007D4121" w:rsidRPr="005071D5">
        <w:rPr>
          <w:rFonts w:cstheme="minorHAnsi"/>
          <w:lang w:val="en-GB"/>
        </w:rPr>
        <w:t xml:space="preserve"> in force</w:t>
      </w:r>
      <w:r w:rsidR="00684F33">
        <w:rPr>
          <w:rFonts w:cstheme="minorHAnsi"/>
          <w:lang w:val="en-GB"/>
        </w:rPr>
        <w:t xml:space="preserve"> if a breach of that provision would be punishable by law</w:t>
      </w:r>
      <w:r w:rsidR="005071D5" w:rsidRPr="005071D5">
        <w:rPr>
          <w:rFonts w:cstheme="minorHAnsi"/>
          <w:lang w:val="en-GB"/>
        </w:rPr>
        <w:t>.</w:t>
      </w:r>
    </w:p>
    <w:p w:rsidR="007347D8" w:rsidRDefault="002769B5" w:rsidP="000F2E7E">
      <w:pPr>
        <w:spacing w:before="100" w:beforeAutospacing="1" w:after="100" w:afterAutospacing="1" w:line="360" w:lineRule="auto"/>
        <w:jc w:val="both"/>
        <w:rPr>
          <w:rFonts w:eastAsia="Times New Roman" w:cstheme="minorHAnsi"/>
          <w:lang w:val="en-GB" w:eastAsia="de-AT"/>
        </w:rPr>
      </w:pPr>
      <w:r w:rsidRPr="005071D5">
        <w:rPr>
          <w:rFonts w:cstheme="minorHAnsi"/>
          <w:lang w:val="en-GB"/>
        </w:rPr>
        <w:t>3.1.</w:t>
      </w:r>
      <w:r w:rsidRPr="00F17713">
        <w:rPr>
          <w:lang w:val="en-GB"/>
        </w:rPr>
        <w:t xml:space="preserve"> </w:t>
      </w:r>
      <w:r w:rsidRPr="00EC3074">
        <w:rPr>
          <w:lang w:val="en-GB"/>
        </w:rPr>
        <w:tab/>
      </w:r>
      <w:r w:rsidR="007D4121" w:rsidRPr="007D4121">
        <w:rPr>
          <w:rFonts w:eastAsia="Times New Roman" w:cstheme="minorHAnsi"/>
          <w:lang w:val="en-GB" w:eastAsia="de-AT"/>
        </w:rPr>
        <w:t>The</w:t>
      </w:r>
      <w:r>
        <w:rPr>
          <w:rFonts w:eastAsia="Times New Roman" w:cstheme="minorHAnsi"/>
          <w:lang w:val="en-GB" w:eastAsia="de-AT"/>
        </w:rPr>
        <w:t xml:space="preserve"> </w:t>
      </w:r>
      <w:r w:rsidRPr="001331EA">
        <w:rPr>
          <w:rFonts w:cstheme="minorHAnsi"/>
          <w:color w:val="222222"/>
          <w:lang w:val="en-GB"/>
        </w:rPr>
        <w:t xml:space="preserve">Constitutional Court </w:t>
      </w:r>
      <w:r>
        <w:rPr>
          <w:rFonts w:eastAsia="Times New Roman" w:cstheme="minorHAnsi"/>
          <w:lang w:val="en-GB" w:eastAsia="de-AT"/>
        </w:rPr>
        <w:t>held that there</w:t>
      </w:r>
      <w:r w:rsidR="007D4121" w:rsidRPr="007D4121">
        <w:rPr>
          <w:rFonts w:eastAsia="Times New Roman" w:cstheme="minorHAnsi"/>
          <w:lang w:val="en-GB" w:eastAsia="de-AT"/>
        </w:rPr>
        <w:t xml:space="preserve"> are no objections to the constitutionality of </w:t>
      </w:r>
      <w:r>
        <w:rPr>
          <w:rFonts w:eastAsia="Times New Roman" w:cstheme="minorHAnsi"/>
          <w:lang w:val="en-GB" w:eastAsia="de-AT"/>
        </w:rPr>
        <w:t>§</w:t>
      </w:r>
      <w:r w:rsidR="007D4121" w:rsidRPr="007D4121">
        <w:rPr>
          <w:rFonts w:eastAsia="Times New Roman" w:cstheme="minorHAnsi"/>
          <w:lang w:val="en-GB" w:eastAsia="de-AT"/>
        </w:rPr>
        <w:t xml:space="preserve"> 2 of the COVID-19 Measures Act, </w:t>
      </w:r>
      <w:r w:rsidR="003A2E23">
        <w:rPr>
          <w:rFonts w:eastAsia="Times New Roman" w:cstheme="minorHAnsi"/>
          <w:lang w:val="en-GB" w:eastAsia="de-AT"/>
        </w:rPr>
        <w:t>on which regulation</w:t>
      </w:r>
      <w:r w:rsidR="007B5BCA">
        <w:rPr>
          <w:rFonts w:eastAsia="Times New Roman" w:cstheme="minorHAnsi"/>
          <w:lang w:val="en-GB" w:eastAsia="de-AT"/>
        </w:rPr>
        <w:t>-98</w:t>
      </w:r>
      <w:r w:rsidR="003A2E23">
        <w:rPr>
          <w:rFonts w:eastAsia="Times New Roman" w:cstheme="minorHAnsi"/>
          <w:lang w:val="en-GB" w:eastAsia="de-AT"/>
        </w:rPr>
        <w:t xml:space="preserve"> had been based</w:t>
      </w:r>
      <w:r w:rsidR="00E809CA">
        <w:rPr>
          <w:rFonts w:eastAsia="Times New Roman" w:cstheme="minorHAnsi"/>
          <w:lang w:val="en-GB" w:eastAsia="de-AT"/>
        </w:rPr>
        <w:t xml:space="preserve">. </w:t>
      </w:r>
      <w:r>
        <w:rPr>
          <w:rFonts w:eastAsia="Times New Roman" w:cstheme="minorHAnsi"/>
          <w:lang w:val="en-GB" w:eastAsia="de-AT"/>
        </w:rPr>
        <w:t>§</w:t>
      </w:r>
      <w:r w:rsidR="00E809CA" w:rsidRPr="007D4121">
        <w:rPr>
          <w:rFonts w:eastAsia="Times New Roman" w:cstheme="minorHAnsi"/>
          <w:lang w:val="en-GB" w:eastAsia="de-AT"/>
        </w:rPr>
        <w:t xml:space="preserve"> 2</w:t>
      </w:r>
      <w:r w:rsidR="007D4121" w:rsidRPr="007D4121">
        <w:rPr>
          <w:rFonts w:eastAsia="Times New Roman" w:cstheme="minorHAnsi"/>
          <w:lang w:val="en-GB" w:eastAsia="de-AT"/>
        </w:rPr>
        <w:t xml:space="preserve"> </w:t>
      </w:r>
      <w:r w:rsidR="007706BE">
        <w:rPr>
          <w:rFonts w:eastAsia="Times New Roman" w:cstheme="minorHAnsi"/>
          <w:lang w:val="en-GB" w:eastAsia="de-AT"/>
        </w:rPr>
        <w:t xml:space="preserve">of this act </w:t>
      </w:r>
      <w:r w:rsidR="00BD6F82">
        <w:rPr>
          <w:rFonts w:eastAsia="Times New Roman" w:cstheme="minorHAnsi"/>
          <w:lang w:val="en-GB" w:eastAsia="de-AT"/>
        </w:rPr>
        <w:t>provides</w:t>
      </w:r>
      <w:r w:rsidR="007D4121" w:rsidRPr="007D4121">
        <w:rPr>
          <w:rFonts w:eastAsia="Times New Roman" w:cstheme="minorHAnsi"/>
          <w:lang w:val="en-GB" w:eastAsia="de-AT"/>
        </w:rPr>
        <w:t xml:space="preserve"> a sufficiently </w:t>
      </w:r>
      <w:r w:rsidR="00E809CA">
        <w:rPr>
          <w:rFonts w:eastAsia="Times New Roman" w:cstheme="minorHAnsi"/>
          <w:lang w:val="en-GB" w:eastAsia="de-AT"/>
        </w:rPr>
        <w:t>precise</w:t>
      </w:r>
      <w:r w:rsidR="007D4121" w:rsidRPr="007D4121">
        <w:rPr>
          <w:rFonts w:eastAsia="Times New Roman" w:cstheme="minorHAnsi"/>
          <w:lang w:val="en-GB" w:eastAsia="de-AT"/>
        </w:rPr>
        <w:t xml:space="preserve"> legal basis for any prohibitions on entry and thus </w:t>
      </w:r>
      <w:r w:rsidR="00E809CA" w:rsidRPr="007D4121">
        <w:rPr>
          <w:rFonts w:eastAsia="Times New Roman" w:cstheme="minorHAnsi"/>
          <w:lang w:val="en-GB" w:eastAsia="de-AT"/>
        </w:rPr>
        <w:t xml:space="preserve">corresponds </w:t>
      </w:r>
      <w:r w:rsidR="00E809CA">
        <w:rPr>
          <w:rFonts w:eastAsia="Times New Roman" w:cstheme="minorHAnsi"/>
          <w:lang w:val="en-GB" w:eastAsia="de-AT"/>
        </w:rPr>
        <w:t xml:space="preserve">to </w:t>
      </w:r>
      <w:r w:rsidR="007D4121" w:rsidRPr="007D4121">
        <w:rPr>
          <w:rFonts w:eastAsia="Times New Roman" w:cstheme="minorHAnsi"/>
          <w:lang w:val="en-GB" w:eastAsia="de-AT"/>
        </w:rPr>
        <w:t xml:space="preserve">the principle of legality </w:t>
      </w:r>
      <w:r w:rsidR="007347D8">
        <w:rPr>
          <w:rFonts w:eastAsia="Times New Roman" w:cstheme="minorHAnsi"/>
          <w:lang w:val="en-GB" w:eastAsia="de-AT"/>
        </w:rPr>
        <w:t>under</w:t>
      </w:r>
      <w:r w:rsidR="007D4121" w:rsidRPr="007D4121">
        <w:rPr>
          <w:rFonts w:eastAsia="Times New Roman" w:cstheme="minorHAnsi"/>
          <w:lang w:val="en-GB" w:eastAsia="de-AT"/>
        </w:rPr>
        <w:t xml:space="preserve"> </w:t>
      </w:r>
      <w:r w:rsidR="00D80439">
        <w:rPr>
          <w:rFonts w:eastAsia="Times New Roman" w:cstheme="minorHAnsi"/>
          <w:lang w:val="en-GB" w:eastAsia="de-AT"/>
        </w:rPr>
        <w:t>Article </w:t>
      </w:r>
      <w:r w:rsidR="007D4121" w:rsidRPr="007D4121">
        <w:rPr>
          <w:rFonts w:eastAsia="Times New Roman" w:cstheme="minorHAnsi"/>
          <w:lang w:val="en-GB" w:eastAsia="de-AT"/>
        </w:rPr>
        <w:t>18</w:t>
      </w:r>
      <w:r w:rsidR="00693022">
        <w:rPr>
          <w:rFonts w:eastAsia="Times New Roman" w:cstheme="minorHAnsi"/>
          <w:lang w:val="en-GB" w:eastAsia="de-AT"/>
        </w:rPr>
        <w:t>,</w:t>
      </w:r>
      <w:r w:rsidR="007D4121" w:rsidRPr="007D4121">
        <w:rPr>
          <w:rFonts w:eastAsia="Times New Roman" w:cstheme="minorHAnsi"/>
          <w:lang w:val="en-GB" w:eastAsia="de-AT"/>
        </w:rPr>
        <w:t xml:space="preserve"> para</w:t>
      </w:r>
      <w:r w:rsidR="00693022">
        <w:rPr>
          <w:rFonts w:eastAsia="Times New Roman" w:cstheme="minorHAnsi"/>
          <w:lang w:val="en-GB" w:eastAsia="de-AT"/>
        </w:rPr>
        <w:t>graph</w:t>
      </w:r>
      <w:r w:rsidR="007D4121" w:rsidRPr="007D4121">
        <w:rPr>
          <w:rFonts w:eastAsia="Times New Roman" w:cstheme="minorHAnsi"/>
          <w:lang w:val="en-GB" w:eastAsia="de-AT"/>
        </w:rPr>
        <w:t xml:space="preserve"> </w:t>
      </w:r>
      <w:r w:rsidR="007706BE">
        <w:rPr>
          <w:rFonts w:eastAsia="Times New Roman" w:cstheme="minorHAnsi"/>
          <w:lang w:val="en-GB" w:eastAsia="de-AT"/>
        </w:rPr>
        <w:t>2</w:t>
      </w:r>
      <w:r w:rsidR="007347D8">
        <w:rPr>
          <w:rFonts w:eastAsia="Times New Roman" w:cstheme="minorHAnsi"/>
          <w:lang w:val="en-GB" w:eastAsia="de-AT"/>
        </w:rPr>
        <w:t>,</w:t>
      </w:r>
      <w:r w:rsidR="007706BE">
        <w:rPr>
          <w:rFonts w:eastAsia="Times New Roman" w:cstheme="minorHAnsi"/>
          <w:lang w:val="en-GB" w:eastAsia="de-AT"/>
        </w:rPr>
        <w:t xml:space="preserve"> of the Federal Constitu</w:t>
      </w:r>
      <w:r w:rsidR="00570CE3">
        <w:rPr>
          <w:rFonts w:eastAsia="Times New Roman" w:cstheme="minorHAnsi"/>
          <w:lang w:val="en-GB" w:eastAsia="de-AT"/>
        </w:rPr>
        <w:t>t</w:t>
      </w:r>
      <w:r w:rsidR="007706BE">
        <w:rPr>
          <w:rFonts w:eastAsia="Times New Roman" w:cstheme="minorHAnsi"/>
          <w:lang w:val="en-GB" w:eastAsia="de-AT"/>
        </w:rPr>
        <w:t>ional Act</w:t>
      </w:r>
      <w:r w:rsidR="007347D8">
        <w:rPr>
          <w:rFonts w:eastAsia="Times New Roman" w:cstheme="minorHAnsi"/>
          <w:lang w:val="en-GB" w:eastAsia="de-AT"/>
        </w:rPr>
        <w:t xml:space="preserve"> and – with a view to the right to freedom of movement – under Article 2 Protocol 4 ECHR and Article 4, paragraph 1, </w:t>
      </w:r>
      <w:r w:rsidR="00503D5F">
        <w:rPr>
          <w:rFonts w:eastAsia="Times New Roman" w:cstheme="minorHAnsi"/>
          <w:lang w:val="en-GB" w:eastAsia="de-AT"/>
        </w:rPr>
        <w:t xml:space="preserve">of the Basic Law on the General Rights of the Citizens of </w:t>
      </w:r>
      <w:r w:rsidR="00F27572">
        <w:rPr>
          <w:rFonts w:eastAsia="Times New Roman" w:cstheme="minorHAnsi"/>
          <w:lang w:val="en-GB" w:eastAsia="de-AT"/>
        </w:rPr>
        <w:t xml:space="preserve">21 December </w:t>
      </w:r>
      <w:r w:rsidR="00503D5F">
        <w:rPr>
          <w:rFonts w:eastAsia="Times New Roman" w:cstheme="minorHAnsi"/>
          <w:lang w:val="en-GB" w:eastAsia="de-AT"/>
        </w:rPr>
        <w:t>1867</w:t>
      </w:r>
      <w:r w:rsidR="007347D8">
        <w:rPr>
          <w:rFonts w:eastAsia="Times New Roman" w:cstheme="minorHAnsi"/>
          <w:lang w:val="en-GB" w:eastAsia="de-AT"/>
        </w:rPr>
        <w:t>.</w:t>
      </w:r>
    </w:p>
    <w:p w:rsidR="007347D8" w:rsidRDefault="007706BE" w:rsidP="000F2E7E">
      <w:pPr>
        <w:spacing w:before="100" w:beforeAutospacing="1" w:after="100" w:afterAutospacing="1" w:line="360" w:lineRule="auto"/>
        <w:jc w:val="both"/>
        <w:rPr>
          <w:rFonts w:eastAsia="Times New Roman" w:cstheme="minorHAnsi"/>
          <w:lang w:val="en-GB" w:eastAsia="de-AT"/>
        </w:rPr>
      </w:pPr>
      <w:r w:rsidRPr="007D4121">
        <w:rPr>
          <w:rFonts w:eastAsia="Times New Roman" w:cstheme="minorHAnsi"/>
          <w:lang w:val="en-GB" w:eastAsia="de-AT"/>
        </w:rPr>
        <w:t>3.2.</w:t>
      </w:r>
      <w:r w:rsidRPr="00F17713">
        <w:rPr>
          <w:lang w:val="en-GB"/>
        </w:rPr>
        <w:t xml:space="preserve"> </w:t>
      </w:r>
      <w:r w:rsidRPr="00EC3074">
        <w:rPr>
          <w:lang w:val="en-GB"/>
        </w:rPr>
        <w:tab/>
      </w:r>
      <w:r w:rsidR="007347D8">
        <w:rPr>
          <w:lang w:val="en-GB"/>
        </w:rPr>
        <w:t>Yet, t</w:t>
      </w:r>
      <w:r w:rsidR="00436902" w:rsidRPr="00436902">
        <w:rPr>
          <w:rFonts w:eastAsia="Times New Roman" w:cstheme="minorHAnsi"/>
          <w:lang w:val="en-GB" w:eastAsia="de-AT"/>
        </w:rPr>
        <w:t xml:space="preserve">he </w:t>
      </w:r>
      <w:r w:rsidR="002769B5" w:rsidRPr="001331EA">
        <w:rPr>
          <w:rFonts w:cstheme="minorHAnsi"/>
          <w:color w:val="222222"/>
          <w:lang w:val="en-GB"/>
        </w:rPr>
        <w:t xml:space="preserve">Constitutional Court </w:t>
      </w:r>
      <w:r w:rsidR="00503D5F">
        <w:rPr>
          <w:rFonts w:eastAsia="Times New Roman" w:cstheme="minorHAnsi"/>
          <w:lang w:val="en-GB" w:eastAsia="de-AT"/>
        </w:rPr>
        <w:t>decided that</w:t>
      </w:r>
      <w:r w:rsidR="00BD6F82">
        <w:rPr>
          <w:rFonts w:eastAsia="Times New Roman" w:cstheme="minorHAnsi"/>
          <w:lang w:val="en-GB" w:eastAsia="de-AT"/>
        </w:rPr>
        <w:t xml:space="preserve"> </w:t>
      </w:r>
      <w:r w:rsidR="005C637D">
        <w:rPr>
          <w:rFonts w:eastAsia="Times New Roman" w:cstheme="minorHAnsi"/>
          <w:lang w:val="en-GB" w:eastAsia="de-AT"/>
        </w:rPr>
        <w:t>regulation-98</w:t>
      </w:r>
      <w:r w:rsidR="00513BC5">
        <w:rPr>
          <w:rFonts w:cstheme="minorHAnsi"/>
          <w:lang w:val="en-GB" w:eastAsia="de-AT"/>
        </w:rPr>
        <w:t xml:space="preserve"> </w:t>
      </w:r>
      <w:r w:rsidR="00570CE3" w:rsidRPr="000A2E7C">
        <w:rPr>
          <w:rFonts w:eastAsia="Times New Roman" w:cstheme="minorHAnsi"/>
          <w:lang w:val="en-GB" w:eastAsia="de-AT"/>
        </w:rPr>
        <w:t>w</w:t>
      </w:r>
      <w:r w:rsidR="00503D5F">
        <w:rPr>
          <w:rFonts w:eastAsia="Times New Roman" w:cstheme="minorHAnsi"/>
          <w:lang w:val="en-GB" w:eastAsia="de-AT"/>
        </w:rPr>
        <w:t>as</w:t>
      </w:r>
      <w:r w:rsidR="00436902" w:rsidRPr="000A2E7C">
        <w:rPr>
          <w:rFonts w:eastAsia="Times New Roman" w:cstheme="minorHAnsi"/>
          <w:lang w:val="en-GB" w:eastAsia="de-AT"/>
        </w:rPr>
        <w:t xml:space="preserve"> </w:t>
      </w:r>
      <w:r w:rsidR="00436902" w:rsidRPr="00436902">
        <w:rPr>
          <w:rFonts w:eastAsia="Times New Roman" w:cstheme="minorHAnsi"/>
          <w:lang w:val="en-GB" w:eastAsia="de-AT"/>
        </w:rPr>
        <w:t xml:space="preserve">unlawful because </w:t>
      </w:r>
      <w:r w:rsidR="00503D5F">
        <w:rPr>
          <w:rFonts w:eastAsia="Times New Roman" w:cstheme="minorHAnsi"/>
          <w:lang w:val="en-GB" w:eastAsia="de-AT"/>
        </w:rPr>
        <w:t>its</w:t>
      </w:r>
      <w:r w:rsidR="00360208">
        <w:rPr>
          <w:rFonts w:eastAsia="Times New Roman" w:cstheme="minorHAnsi"/>
          <w:lang w:val="en-GB" w:eastAsia="de-AT"/>
        </w:rPr>
        <w:t xml:space="preserve"> provisions</w:t>
      </w:r>
      <w:r w:rsidR="000A2E7C" w:rsidRPr="000A2E7C">
        <w:rPr>
          <w:rFonts w:eastAsia="Times New Roman" w:cstheme="minorHAnsi"/>
          <w:lang w:val="en-GB" w:eastAsia="de-AT"/>
        </w:rPr>
        <w:t xml:space="preserve"> </w:t>
      </w:r>
      <w:r w:rsidR="000A2E7C" w:rsidRPr="00436902">
        <w:rPr>
          <w:rFonts w:eastAsia="Times New Roman" w:cstheme="minorHAnsi"/>
          <w:lang w:val="en-GB" w:eastAsia="de-AT"/>
        </w:rPr>
        <w:t>exceeded</w:t>
      </w:r>
      <w:r w:rsidR="00360208">
        <w:rPr>
          <w:rFonts w:eastAsia="Times New Roman" w:cstheme="minorHAnsi"/>
          <w:lang w:val="en-GB" w:eastAsia="de-AT"/>
        </w:rPr>
        <w:t xml:space="preserve"> </w:t>
      </w:r>
      <w:r w:rsidR="00436902" w:rsidRPr="00436902">
        <w:rPr>
          <w:rFonts w:eastAsia="Times New Roman" w:cstheme="minorHAnsi"/>
          <w:lang w:val="en-GB" w:eastAsia="de-AT"/>
        </w:rPr>
        <w:t xml:space="preserve">the limits set </w:t>
      </w:r>
      <w:r w:rsidR="008618A9" w:rsidRPr="00436902">
        <w:rPr>
          <w:rFonts w:eastAsia="Times New Roman" w:cstheme="minorHAnsi"/>
          <w:lang w:val="en-GB" w:eastAsia="de-AT"/>
        </w:rPr>
        <w:t xml:space="preserve">by </w:t>
      </w:r>
      <w:r w:rsidR="008618A9" w:rsidRPr="007D4121">
        <w:rPr>
          <w:rFonts w:eastAsia="Times New Roman" w:cstheme="minorHAnsi"/>
          <w:lang w:val="en-GB" w:eastAsia="de-AT"/>
        </w:rPr>
        <w:t xml:space="preserve">§ </w:t>
      </w:r>
      <w:r w:rsidR="000A2E7C">
        <w:rPr>
          <w:rFonts w:eastAsia="Times New Roman" w:cstheme="minorHAnsi"/>
          <w:lang w:val="en-GB" w:eastAsia="de-AT"/>
        </w:rPr>
        <w:t>2 of the COVID-19 Measures Act</w:t>
      </w:r>
      <w:r w:rsidR="00436902" w:rsidRPr="00436902">
        <w:rPr>
          <w:rFonts w:eastAsia="Times New Roman" w:cstheme="minorHAnsi"/>
          <w:lang w:val="en-GB" w:eastAsia="de-AT"/>
        </w:rPr>
        <w:t xml:space="preserve">. </w:t>
      </w:r>
      <w:r w:rsidR="00360208">
        <w:rPr>
          <w:rFonts w:eastAsia="Times New Roman" w:cstheme="minorHAnsi"/>
          <w:lang w:val="en-GB" w:eastAsia="de-AT"/>
        </w:rPr>
        <w:t>§ 1</w:t>
      </w:r>
      <w:r w:rsidR="000A2E7C">
        <w:rPr>
          <w:rFonts w:eastAsia="Times New Roman" w:cstheme="minorHAnsi"/>
          <w:lang w:val="en-GB" w:eastAsia="de-AT"/>
        </w:rPr>
        <w:t xml:space="preserve"> (</w:t>
      </w:r>
      <w:r w:rsidR="000A2E7C" w:rsidRPr="00436902">
        <w:rPr>
          <w:rFonts w:eastAsia="Times New Roman" w:cstheme="minorHAnsi"/>
          <w:lang w:val="en-GB" w:eastAsia="de-AT"/>
        </w:rPr>
        <w:t>ban on entry</w:t>
      </w:r>
      <w:r w:rsidR="000A2E7C">
        <w:rPr>
          <w:rFonts w:eastAsia="Times New Roman" w:cstheme="minorHAnsi"/>
          <w:lang w:val="en-GB" w:eastAsia="de-AT"/>
        </w:rPr>
        <w:t>)</w:t>
      </w:r>
      <w:r w:rsidR="00360208">
        <w:rPr>
          <w:rFonts w:eastAsia="Times New Roman" w:cstheme="minorHAnsi"/>
          <w:lang w:val="en-GB" w:eastAsia="de-AT"/>
        </w:rPr>
        <w:t xml:space="preserve"> and § 2</w:t>
      </w:r>
      <w:r w:rsidR="00436902" w:rsidRPr="00436902">
        <w:rPr>
          <w:rFonts w:eastAsia="Times New Roman" w:cstheme="minorHAnsi"/>
          <w:lang w:val="en-GB" w:eastAsia="de-AT"/>
        </w:rPr>
        <w:t xml:space="preserve"> </w:t>
      </w:r>
      <w:r w:rsidR="000A2E7C">
        <w:rPr>
          <w:rFonts w:eastAsia="Times New Roman" w:cstheme="minorHAnsi"/>
          <w:lang w:val="en-GB" w:eastAsia="de-AT"/>
        </w:rPr>
        <w:t xml:space="preserve">(exceptions) </w:t>
      </w:r>
      <w:r w:rsidR="00503D5F">
        <w:rPr>
          <w:rFonts w:eastAsia="Times New Roman" w:cstheme="minorHAnsi"/>
          <w:lang w:val="en-GB" w:eastAsia="de-AT"/>
        </w:rPr>
        <w:t>were</w:t>
      </w:r>
      <w:r w:rsidR="00436902" w:rsidRPr="00436902">
        <w:rPr>
          <w:rFonts w:eastAsia="Times New Roman" w:cstheme="minorHAnsi"/>
          <w:lang w:val="en-GB" w:eastAsia="de-AT"/>
        </w:rPr>
        <w:t xml:space="preserve"> systematically related to </w:t>
      </w:r>
      <w:r w:rsidR="005A719E" w:rsidRPr="007D4121">
        <w:rPr>
          <w:rFonts w:eastAsia="Times New Roman" w:cstheme="minorHAnsi"/>
          <w:lang w:val="en-GB" w:eastAsia="de-AT"/>
        </w:rPr>
        <w:t xml:space="preserve">§ </w:t>
      </w:r>
      <w:r w:rsidR="00436902" w:rsidRPr="00436902">
        <w:rPr>
          <w:rFonts w:eastAsia="Times New Roman" w:cstheme="minorHAnsi"/>
          <w:lang w:val="en-GB" w:eastAsia="de-AT"/>
        </w:rPr>
        <w:t xml:space="preserve">4 of the </w:t>
      </w:r>
      <w:r w:rsidR="005071D5" w:rsidRPr="007D4121">
        <w:rPr>
          <w:rFonts w:eastAsia="Times New Roman" w:cstheme="minorHAnsi"/>
          <w:lang w:val="en-GB" w:eastAsia="de-AT"/>
        </w:rPr>
        <w:t>regulation</w:t>
      </w:r>
      <w:r w:rsidR="007347D8">
        <w:rPr>
          <w:rFonts w:eastAsia="Times New Roman" w:cstheme="minorHAnsi"/>
          <w:lang w:val="en-GB" w:eastAsia="de-AT"/>
        </w:rPr>
        <w:t xml:space="preserve"> (use of public </w:t>
      </w:r>
      <w:r w:rsidR="00570CE3" w:rsidRPr="00570CE3">
        <w:rPr>
          <w:rFonts w:eastAsia="Times New Roman" w:cstheme="minorHAnsi"/>
          <w:lang w:val="en-GB" w:eastAsia="de-AT"/>
        </w:rPr>
        <w:t>transport)</w:t>
      </w:r>
      <w:r w:rsidR="00436902" w:rsidRPr="00570CE3">
        <w:rPr>
          <w:rFonts w:eastAsia="Times New Roman" w:cstheme="minorHAnsi"/>
          <w:lang w:val="en-GB" w:eastAsia="de-AT"/>
        </w:rPr>
        <w:t xml:space="preserve">. </w:t>
      </w:r>
      <w:r w:rsidR="00570CE3">
        <w:rPr>
          <w:rFonts w:eastAsia="Times New Roman" w:cstheme="minorHAnsi"/>
          <w:lang w:val="en-GB" w:eastAsia="de-AT"/>
        </w:rPr>
        <w:t>According to § </w:t>
      </w:r>
      <w:r w:rsidR="00436902" w:rsidRPr="004E4D0E">
        <w:rPr>
          <w:rFonts w:eastAsia="Times New Roman" w:cstheme="minorHAnsi"/>
          <w:lang w:val="en-GB" w:eastAsia="de-AT"/>
        </w:rPr>
        <w:t xml:space="preserve">6, </w:t>
      </w:r>
      <w:r w:rsidR="00D77B70">
        <w:rPr>
          <w:rFonts w:eastAsia="Times New Roman" w:cstheme="minorHAnsi"/>
          <w:lang w:val="en-GB" w:eastAsia="de-AT"/>
        </w:rPr>
        <w:t>every person entering a public place ha</w:t>
      </w:r>
      <w:r w:rsidR="00503D5F">
        <w:rPr>
          <w:rFonts w:eastAsia="Times New Roman" w:cstheme="minorHAnsi"/>
          <w:lang w:val="en-GB" w:eastAsia="de-AT"/>
        </w:rPr>
        <w:t>d</w:t>
      </w:r>
      <w:r w:rsidR="00D77B70">
        <w:rPr>
          <w:rFonts w:eastAsia="Times New Roman" w:cstheme="minorHAnsi"/>
          <w:lang w:val="en-GB" w:eastAsia="de-AT"/>
        </w:rPr>
        <w:t xml:space="preserve"> to </w:t>
      </w:r>
      <w:r w:rsidR="00503D5F">
        <w:rPr>
          <w:rFonts w:eastAsia="Times New Roman" w:cstheme="minorHAnsi"/>
          <w:lang w:val="en-GB" w:eastAsia="de-AT"/>
        </w:rPr>
        <w:t>demonstrate</w:t>
      </w:r>
      <w:r w:rsidR="00D77B70">
        <w:rPr>
          <w:rFonts w:eastAsia="Times New Roman" w:cstheme="minorHAnsi"/>
          <w:lang w:val="en-GB" w:eastAsia="de-AT"/>
        </w:rPr>
        <w:t xml:space="preserve">, in case of </w:t>
      </w:r>
      <w:r w:rsidR="00CC208D">
        <w:rPr>
          <w:rFonts w:eastAsia="Times New Roman" w:cstheme="minorHAnsi"/>
          <w:lang w:val="en-GB" w:eastAsia="de-AT"/>
        </w:rPr>
        <w:t xml:space="preserve">police </w:t>
      </w:r>
      <w:r w:rsidR="00D77B70">
        <w:rPr>
          <w:rFonts w:eastAsia="Times New Roman" w:cstheme="minorHAnsi"/>
          <w:lang w:val="en-GB" w:eastAsia="de-AT"/>
        </w:rPr>
        <w:t xml:space="preserve">control, that such entry </w:t>
      </w:r>
      <w:r w:rsidR="00CC208D">
        <w:rPr>
          <w:rFonts w:eastAsia="Times New Roman" w:cstheme="minorHAnsi"/>
          <w:lang w:val="en-GB" w:eastAsia="de-AT"/>
        </w:rPr>
        <w:t>was</w:t>
      </w:r>
      <w:r w:rsidR="00D77B70">
        <w:rPr>
          <w:rFonts w:eastAsia="Times New Roman" w:cstheme="minorHAnsi"/>
          <w:lang w:val="en-GB" w:eastAsia="de-AT"/>
        </w:rPr>
        <w:t xml:space="preserve"> covered by the exceptions set out in § 2.</w:t>
      </w:r>
    </w:p>
    <w:p w:rsidR="009A10B2" w:rsidRDefault="000A2E7C" w:rsidP="00434CBB">
      <w:pPr>
        <w:spacing w:before="100" w:beforeAutospacing="1" w:after="100" w:afterAutospacing="1" w:line="360" w:lineRule="auto"/>
        <w:jc w:val="both"/>
        <w:rPr>
          <w:rFonts w:cstheme="minorHAnsi"/>
          <w:lang w:val="en-GB"/>
        </w:rPr>
      </w:pPr>
      <w:r w:rsidRPr="008618A9">
        <w:rPr>
          <w:rFonts w:cstheme="minorHAnsi"/>
          <w:lang w:val="en-GB"/>
        </w:rPr>
        <w:t xml:space="preserve">The </w:t>
      </w:r>
      <w:r>
        <w:rPr>
          <w:rFonts w:cstheme="minorHAnsi"/>
          <w:lang w:val="en-GB"/>
        </w:rPr>
        <w:t xml:space="preserve">Court pointed out that </w:t>
      </w:r>
      <w:r w:rsidR="00360208">
        <w:rPr>
          <w:rFonts w:cstheme="minorHAnsi"/>
          <w:color w:val="222222"/>
          <w:lang w:val="en-GB"/>
        </w:rPr>
        <w:t>t</w:t>
      </w:r>
      <w:r w:rsidR="008618A9" w:rsidRPr="00436902">
        <w:rPr>
          <w:rFonts w:cstheme="minorHAnsi"/>
          <w:lang w:val="en-GB"/>
        </w:rPr>
        <w:t xml:space="preserve">he purpose of § 1 </w:t>
      </w:r>
      <w:r>
        <w:rPr>
          <w:rFonts w:cstheme="minorHAnsi"/>
          <w:lang w:val="en-GB" w:eastAsia="de-AT"/>
        </w:rPr>
        <w:t xml:space="preserve">of </w:t>
      </w:r>
      <w:r w:rsidR="005C637D">
        <w:rPr>
          <w:rFonts w:cstheme="minorHAnsi"/>
          <w:lang w:val="en-GB" w:eastAsia="de-AT"/>
        </w:rPr>
        <w:t>regulation-98</w:t>
      </w:r>
      <w:r w:rsidR="00693022">
        <w:rPr>
          <w:rFonts w:cstheme="minorHAnsi"/>
          <w:lang w:val="en-GB" w:eastAsia="de-AT"/>
        </w:rPr>
        <w:t xml:space="preserve"> </w:t>
      </w:r>
      <w:r w:rsidR="00CC208D">
        <w:rPr>
          <w:rFonts w:cstheme="minorHAnsi"/>
          <w:lang w:val="en-GB"/>
        </w:rPr>
        <w:t>was</w:t>
      </w:r>
      <w:r w:rsidR="008618A9" w:rsidRPr="00436902">
        <w:rPr>
          <w:rFonts w:cstheme="minorHAnsi"/>
          <w:lang w:val="en-GB"/>
        </w:rPr>
        <w:t xml:space="preserve"> to </w:t>
      </w:r>
      <w:r w:rsidR="007347D8">
        <w:rPr>
          <w:rFonts w:cstheme="minorHAnsi"/>
          <w:lang w:val="en-GB"/>
        </w:rPr>
        <w:t>make</w:t>
      </w:r>
      <w:r w:rsidR="008618A9" w:rsidRPr="00436902">
        <w:rPr>
          <w:rFonts w:cstheme="minorHAnsi"/>
          <w:lang w:val="en-GB"/>
        </w:rPr>
        <w:t xml:space="preserve"> people</w:t>
      </w:r>
      <w:r w:rsidR="0078021A">
        <w:rPr>
          <w:rFonts w:cstheme="minorHAnsi"/>
          <w:lang w:val="en-GB"/>
        </w:rPr>
        <w:t xml:space="preserve"> stay at</w:t>
      </w:r>
      <w:r w:rsidR="00434CBB">
        <w:rPr>
          <w:rFonts w:cstheme="minorHAnsi"/>
          <w:lang w:val="en-GB"/>
        </w:rPr>
        <w:t xml:space="preserve"> home</w:t>
      </w:r>
      <w:r w:rsidR="008618A9" w:rsidRPr="00436902">
        <w:rPr>
          <w:rFonts w:cstheme="minorHAnsi"/>
          <w:lang w:val="en-GB"/>
        </w:rPr>
        <w:t>.</w:t>
      </w:r>
      <w:r w:rsidR="00436902" w:rsidRPr="00436902">
        <w:rPr>
          <w:rFonts w:cstheme="minorHAnsi"/>
          <w:lang w:val="en-GB"/>
        </w:rPr>
        <w:t xml:space="preserve"> </w:t>
      </w:r>
      <w:r w:rsidR="00CC208D">
        <w:rPr>
          <w:rFonts w:cstheme="minorHAnsi"/>
          <w:lang w:val="en-GB"/>
        </w:rPr>
        <w:t>Under § 2 of the COVID-19 Measures Act, the</w:t>
      </w:r>
      <w:r w:rsidR="008618A9" w:rsidRPr="008618A9">
        <w:rPr>
          <w:rFonts w:cstheme="minorHAnsi"/>
          <w:lang w:val="en-GB"/>
        </w:rPr>
        <w:t xml:space="preserve"> </w:t>
      </w:r>
      <w:r w:rsidR="00D77B70">
        <w:rPr>
          <w:rFonts w:cstheme="minorHAnsi"/>
          <w:lang w:val="en-GB"/>
        </w:rPr>
        <w:t xml:space="preserve">competent </w:t>
      </w:r>
      <w:r w:rsidR="007B5BCA">
        <w:rPr>
          <w:rFonts w:cstheme="minorHAnsi"/>
          <w:lang w:val="en-GB"/>
        </w:rPr>
        <w:t>Minister of Public Health</w:t>
      </w:r>
      <w:r w:rsidR="008618A9" w:rsidRPr="008618A9">
        <w:rPr>
          <w:rFonts w:cstheme="minorHAnsi"/>
          <w:lang w:val="en-GB"/>
        </w:rPr>
        <w:t xml:space="preserve"> </w:t>
      </w:r>
      <w:r w:rsidR="0078021A">
        <w:rPr>
          <w:rFonts w:cstheme="minorHAnsi"/>
          <w:lang w:val="en-GB"/>
        </w:rPr>
        <w:t>may</w:t>
      </w:r>
      <w:r w:rsidR="008618A9" w:rsidRPr="008618A9">
        <w:rPr>
          <w:rFonts w:cstheme="minorHAnsi"/>
          <w:lang w:val="en-GB"/>
        </w:rPr>
        <w:t xml:space="preserve"> describe the places </w:t>
      </w:r>
      <w:r w:rsidR="00D77B70">
        <w:rPr>
          <w:rFonts w:cstheme="minorHAnsi"/>
          <w:lang w:val="en-GB"/>
        </w:rPr>
        <w:t>which shall not be entered</w:t>
      </w:r>
      <w:r w:rsidR="008618A9" w:rsidRPr="008618A9">
        <w:rPr>
          <w:rFonts w:cstheme="minorHAnsi"/>
          <w:lang w:val="en-GB"/>
        </w:rPr>
        <w:t xml:space="preserve"> </w:t>
      </w:r>
      <w:r w:rsidR="00360208">
        <w:rPr>
          <w:rFonts w:cstheme="minorHAnsi"/>
          <w:lang w:val="en-GB"/>
        </w:rPr>
        <w:t>in a specific or abstract way</w:t>
      </w:r>
      <w:r>
        <w:rPr>
          <w:rFonts w:cstheme="minorHAnsi"/>
          <w:lang w:val="en-GB"/>
        </w:rPr>
        <w:t xml:space="preserve">, </w:t>
      </w:r>
      <w:r w:rsidR="007B5BCA">
        <w:rPr>
          <w:rFonts w:cstheme="minorHAnsi"/>
          <w:lang w:val="en-GB"/>
        </w:rPr>
        <w:t>he or she</w:t>
      </w:r>
      <w:r w:rsidR="00360208">
        <w:rPr>
          <w:rFonts w:cstheme="minorHAnsi"/>
          <w:lang w:val="en-GB"/>
        </w:rPr>
        <w:t xml:space="preserve"> </w:t>
      </w:r>
      <w:r w:rsidR="00434CBB">
        <w:rPr>
          <w:rFonts w:cstheme="minorHAnsi"/>
          <w:lang w:val="en-GB"/>
        </w:rPr>
        <w:t>may</w:t>
      </w:r>
      <w:r w:rsidR="00434CBB" w:rsidRPr="008618A9">
        <w:rPr>
          <w:rFonts w:cstheme="minorHAnsi"/>
          <w:lang w:val="en-GB"/>
        </w:rPr>
        <w:t xml:space="preserve"> </w:t>
      </w:r>
      <w:r w:rsidR="008618A9" w:rsidRPr="008618A9">
        <w:rPr>
          <w:rFonts w:cstheme="minorHAnsi"/>
          <w:lang w:val="en-GB"/>
        </w:rPr>
        <w:t xml:space="preserve">also prohibit the entry of regionally limited areas. </w:t>
      </w:r>
      <w:r>
        <w:rPr>
          <w:rFonts w:cstheme="minorHAnsi"/>
          <w:lang w:val="en-GB"/>
        </w:rPr>
        <w:t xml:space="preserve">However, </w:t>
      </w:r>
      <w:r w:rsidR="00D77B70">
        <w:rPr>
          <w:rFonts w:cstheme="minorHAnsi"/>
          <w:lang w:val="en-GB"/>
        </w:rPr>
        <w:t>the minister</w:t>
      </w:r>
      <w:r w:rsidR="00434CBB">
        <w:rPr>
          <w:rFonts w:cstheme="minorHAnsi"/>
          <w:lang w:val="en-GB"/>
        </w:rPr>
        <w:t xml:space="preserve"> is</w:t>
      </w:r>
      <w:r w:rsidR="008618A9" w:rsidRPr="008618A9">
        <w:rPr>
          <w:rFonts w:cstheme="minorHAnsi"/>
          <w:lang w:val="en-GB"/>
        </w:rPr>
        <w:t xml:space="preserve"> prohibited from imposing an exit ban</w:t>
      </w:r>
      <w:r w:rsidR="00360208">
        <w:rPr>
          <w:rFonts w:cstheme="minorHAnsi"/>
          <w:lang w:val="en-GB"/>
        </w:rPr>
        <w:t xml:space="preserve"> as such</w:t>
      </w:r>
      <w:r w:rsidR="008618A9" w:rsidRPr="008618A9">
        <w:rPr>
          <w:rFonts w:cstheme="minorHAnsi"/>
          <w:lang w:val="en-GB"/>
        </w:rPr>
        <w:t xml:space="preserve"> </w:t>
      </w:r>
      <w:r w:rsidR="00BA3EAB">
        <w:rPr>
          <w:rFonts w:cstheme="minorHAnsi"/>
          <w:lang w:val="en-GB"/>
        </w:rPr>
        <w:t>(</w:t>
      </w:r>
      <w:r w:rsidR="008618A9" w:rsidRPr="008618A9">
        <w:rPr>
          <w:rFonts w:cstheme="minorHAnsi"/>
          <w:lang w:val="en-GB"/>
        </w:rPr>
        <w:t>albeit regionally limited</w:t>
      </w:r>
      <w:r w:rsidR="00BA3EAB">
        <w:rPr>
          <w:rFonts w:cstheme="minorHAnsi"/>
          <w:lang w:val="en-GB"/>
        </w:rPr>
        <w:t>)</w:t>
      </w:r>
      <w:r w:rsidR="00360208" w:rsidRPr="007D4121">
        <w:rPr>
          <w:rFonts w:cstheme="minorHAnsi"/>
          <w:lang w:val="en-GB" w:eastAsia="de-AT"/>
        </w:rPr>
        <w:t xml:space="preserve"> </w:t>
      </w:r>
      <w:r w:rsidR="00360208">
        <w:rPr>
          <w:rFonts w:cstheme="minorHAnsi"/>
          <w:lang w:val="en-GB" w:eastAsia="de-AT"/>
        </w:rPr>
        <w:t>through</w:t>
      </w:r>
      <w:r w:rsidR="008618A9" w:rsidRPr="008618A9">
        <w:rPr>
          <w:rFonts w:cstheme="minorHAnsi"/>
          <w:lang w:val="en-GB"/>
        </w:rPr>
        <w:t xml:space="preserve"> a general ban on entering public </w:t>
      </w:r>
      <w:r w:rsidR="0078021A">
        <w:rPr>
          <w:rFonts w:cstheme="minorHAnsi"/>
          <w:lang w:val="en-GB"/>
        </w:rPr>
        <w:t>places</w:t>
      </w:r>
      <w:r w:rsidR="008618A9" w:rsidRPr="008618A9">
        <w:rPr>
          <w:rFonts w:cstheme="minorHAnsi"/>
          <w:lang w:val="en-GB"/>
        </w:rPr>
        <w:t>.</w:t>
      </w:r>
      <w:r w:rsidR="008D2100">
        <w:rPr>
          <w:rFonts w:cstheme="minorHAnsi"/>
          <w:lang w:val="en-GB"/>
        </w:rPr>
        <w:t xml:space="preserve"> </w:t>
      </w:r>
      <w:r w:rsidR="008618A9" w:rsidRPr="008618A9">
        <w:rPr>
          <w:rFonts w:cstheme="minorHAnsi"/>
          <w:lang w:val="en-GB"/>
        </w:rPr>
        <w:t xml:space="preserve">The legal authorization is limited to the extent that people cannot be </w:t>
      </w:r>
      <w:r w:rsidR="00D77B70">
        <w:rPr>
          <w:rFonts w:cstheme="minorHAnsi"/>
          <w:lang w:val="en-GB"/>
        </w:rPr>
        <w:t>forced</w:t>
      </w:r>
      <w:r w:rsidR="00BA3EAB" w:rsidRPr="00BA3EAB">
        <w:rPr>
          <w:rFonts w:cstheme="minorHAnsi"/>
          <w:lang w:val="en-GB"/>
        </w:rPr>
        <w:t xml:space="preserve"> to</w:t>
      </w:r>
      <w:r w:rsidR="008618A9" w:rsidRPr="00BA3EAB">
        <w:rPr>
          <w:rFonts w:cstheme="minorHAnsi"/>
          <w:lang w:val="en-GB"/>
        </w:rPr>
        <w:t xml:space="preserve"> stay in a certain place,</w:t>
      </w:r>
      <w:r w:rsidR="008618A9" w:rsidRPr="008618A9">
        <w:rPr>
          <w:rFonts w:cstheme="minorHAnsi"/>
          <w:lang w:val="en-GB"/>
        </w:rPr>
        <w:t xml:space="preserve"> especially in their home</w:t>
      </w:r>
      <w:r w:rsidR="00BA3EAB">
        <w:rPr>
          <w:rFonts w:cstheme="minorHAnsi"/>
          <w:lang w:val="en-GB"/>
        </w:rPr>
        <w:t>s</w:t>
      </w:r>
      <w:r w:rsidR="008618A9" w:rsidRPr="008618A9">
        <w:rPr>
          <w:rFonts w:cstheme="minorHAnsi"/>
          <w:lang w:val="en-GB"/>
        </w:rPr>
        <w:t>.</w:t>
      </w:r>
      <w:r w:rsidR="008D2100">
        <w:rPr>
          <w:rFonts w:cstheme="minorHAnsi"/>
          <w:lang w:val="en-GB"/>
        </w:rPr>
        <w:t xml:space="preserve"> </w:t>
      </w:r>
    </w:p>
    <w:p w:rsidR="00161E92" w:rsidRPr="00436902" w:rsidRDefault="00D77B70" w:rsidP="00434CBB">
      <w:pPr>
        <w:spacing w:before="100" w:beforeAutospacing="1" w:after="100" w:afterAutospacing="1" w:line="360" w:lineRule="auto"/>
        <w:jc w:val="both"/>
        <w:rPr>
          <w:rFonts w:cstheme="minorHAnsi"/>
          <w:lang w:val="en-GB"/>
        </w:rPr>
      </w:pPr>
      <w:r>
        <w:rPr>
          <w:rFonts w:cstheme="minorHAnsi"/>
          <w:color w:val="222222"/>
          <w:lang w:val="en-GB"/>
        </w:rPr>
        <w:lastRenderedPageBreak/>
        <w:t xml:space="preserve">The </w:t>
      </w:r>
      <w:r w:rsidR="000A2E7C">
        <w:rPr>
          <w:rFonts w:cstheme="minorHAnsi"/>
          <w:color w:val="222222"/>
          <w:lang w:val="en-GB"/>
        </w:rPr>
        <w:t>Constitutional Court</w:t>
      </w:r>
      <w:r>
        <w:rPr>
          <w:rFonts w:cstheme="minorHAnsi"/>
          <w:color w:val="222222"/>
          <w:lang w:val="en-GB"/>
        </w:rPr>
        <w:t xml:space="preserve"> observed that</w:t>
      </w:r>
      <w:r w:rsidR="000A2E7C">
        <w:rPr>
          <w:rFonts w:cstheme="minorHAnsi"/>
          <w:color w:val="222222"/>
          <w:lang w:val="en-GB"/>
        </w:rPr>
        <w:t xml:space="preserve"> </w:t>
      </w:r>
      <w:r w:rsidR="005C637D">
        <w:rPr>
          <w:rFonts w:cstheme="minorHAnsi"/>
          <w:lang w:val="en-GB"/>
        </w:rPr>
        <w:t>regulation-98</w:t>
      </w:r>
      <w:r w:rsidR="008618A9" w:rsidRPr="008618A9">
        <w:rPr>
          <w:rFonts w:cstheme="minorHAnsi"/>
          <w:lang w:val="en-GB"/>
        </w:rPr>
        <w:t xml:space="preserve"> ha</w:t>
      </w:r>
      <w:r>
        <w:rPr>
          <w:rFonts w:cstheme="minorHAnsi"/>
          <w:lang w:val="en-GB"/>
        </w:rPr>
        <w:t>d</w:t>
      </w:r>
      <w:r w:rsidR="008618A9" w:rsidRPr="008618A9">
        <w:rPr>
          <w:rFonts w:cstheme="minorHAnsi"/>
          <w:lang w:val="en-GB"/>
        </w:rPr>
        <w:t xml:space="preserve"> provided f</w:t>
      </w:r>
      <w:r w:rsidR="008D2100">
        <w:rPr>
          <w:rFonts w:cstheme="minorHAnsi"/>
          <w:lang w:val="en-GB"/>
        </w:rPr>
        <w:t>or exceptions to the</w:t>
      </w:r>
      <w:r w:rsidR="008618A9" w:rsidRPr="008618A9">
        <w:rPr>
          <w:rFonts w:cstheme="minorHAnsi"/>
          <w:lang w:val="en-GB"/>
        </w:rPr>
        <w:t xml:space="preserve"> general ban on entry. </w:t>
      </w:r>
      <w:r>
        <w:rPr>
          <w:rFonts w:cstheme="minorHAnsi"/>
          <w:lang w:val="en-GB"/>
        </w:rPr>
        <w:t>However, t</w:t>
      </w:r>
      <w:r w:rsidR="008618A9" w:rsidRPr="008618A9">
        <w:rPr>
          <w:rFonts w:cstheme="minorHAnsi"/>
          <w:lang w:val="en-GB"/>
        </w:rPr>
        <w:t>hese</w:t>
      </w:r>
      <w:r w:rsidR="00434CBB" w:rsidRPr="00434CBB">
        <w:rPr>
          <w:rFonts w:cstheme="minorHAnsi"/>
          <w:lang w:val="en-GB"/>
        </w:rPr>
        <w:t xml:space="preserve"> </w:t>
      </w:r>
      <w:r w:rsidR="00434CBB">
        <w:rPr>
          <w:rFonts w:cstheme="minorHAnsi"/>
          <w:lang w:val="en-GB"/>
        </w:rPr>
        <w:t>exceptions</w:t>
      </w:r>
      <w:r w:rsidR="00BA3EAB">
        <w:rPr>
          <w:rFonts w:cstheme="minorHAnsi"/>
          <w:lang w:val="en-GB"/>
        </w:rPr>
        <w:t xml:space="preserve"> </w:t>
      </w:r>
      <w:r w:rsidR="00BA3EAB" w:rsidRPr="00433244">
        <w:rPr>
          <w:rFonts w:ascii="Arial" w:hAnsi="Arial" w:cs="Arial"/>
          <w:color w:val="4D5156"/>
          <w:sz w:val="21"/>
          <w:szCs w:val="21"/>
          <w:shd w:val="clear" w:color="auto" w:fill="FFFFFF"/>
          <w:lang w:val="en-GB"/>
        </w:rPr>
        <w:t>–</w:t>
      </w:r>
      <w:r w:rsidR="008618A9" w:rsidRPr="008618A9">
        <w:rPr>
          <w:rFonts w:cstheme="minorHAnsi"/>
          <w:lang w:val="en-GB"/>
        </w:rPr>
        <w:t xml:space="preserve"> in particular </w:t>
      </w:r>
      <w:r w:rsidR="008D2100">
        <w:rPr>
          <w:rFonts w:cstheme="minorHAnsi"/>
          <w:lang w:val="en-GB"/>
        </w:rPr>
        <w:t xml:space="preserve">§ 2 </w:t>
      </w:r>
      <w:r>
        <w:rPr>
          <w:rFonts w:cstheme="minorHAnsi"/>
          <w:lang w:val="en-GB"/>
        </w:rPr>
        <w:t>no</w:t>
      </w:r>
      <w:r w:rsidR="00360208">
        <w:rPr>
          <w:rFonts w:cstheme="minorHAnsi"/>
          <w:lang w:val="en-GB"/>
        </w:rPr>
        <w:t>.</w:t>
      </w:r>
      <w:r w:rsidR="008D2100">
        <w:rPr>
          <w:rFonts w:cstheme="minorHAnsi"/>
          <w:lang w:val="en-GB"/>
        </w:rPr>
        <w:t xml:space="preserve"> 5</w:t>
      </w:r>
      <w:r w:rsidR="00BA3EAB" w:rsidRPr="009A10B2">
        <w:rPr>
          <w:rFonts w:cstheme="minorHAnsi"/>
          <w:color w:val="00B050"/>
          <w:lang w:val="en-GB"/>
        </w:rPr>
        <w:t xml:space="preserve"> </w:t>
      </w:r>
      <w:r w:rsidR="00BA3EAB" w:rsidRPr="00433244">
        <w:rPr>
          <w:rFonts w:ascii="Arial" w:hAnsi="Arial" w:cs="Arial"/>
          <w:color w:val="4D5156"/>
          <w:sz w:val="21"/>
          <w:szCs w:val="21"/>
          <w:shd w:val="clear" w:color="auto" w:fill="FFFFFF"/>
          <w:lang w:val="en-GB"/>
        </w:rPr>
        <w:t>–</w:t>
      </w:r>
      <w:r w:rsidR="008618A9" w:rsidRPr="008618A9">
        <w:rPr>
          <w:rFonts w:cstheme="minorHAnsi"/>
          <w:lang w:val="en-GB"/>
        </w:rPr>
        <w:t xml:space="preserve"> </w:t>
      </w:r>
      <w:r>
        <w:rPr>
          <w:rFonts w:cstheme="minorHAnsi"/>
          <w:lang w:val="en-GB"/>
        </w:rPr>
        <w:t>did</w:t>
      </w:r>
      <w:r w:rsidR="008618A9" w:rsidRPr="008618A9">
        <w:rPr>
          <w:rFonts w:cstheme="minorHAnsi"/>
          <w:lang w:val="en-GB"/>
        </w:rPr>
        <w:t xml:space="preserve"> not change the fact that § 1 of the </w:t>
      </w:r>
      <w:r w:rsidR="008618A9" w:rsidRPr="008618A9">
        <w:rPr>
          <w:rFonts w:eastAsia="Times New Roman" w:cstheme="minorHAnsi"/>
          <w:lang w:val="en-GB" w:eastAsia="de-AT"/>
        </w:rPr>
        <w:t>regulation</w:t>
      </w:r>
      <w:r w:rsidR="008618A9" w:rsidRPr="008618A9">
        <w:rPr>
          <w:rFonts w:cstheme="minorHAnsi"/>
          <w:lang w:val="en-GB"/>
        </w:rPr>
        <w:t xml:space="preserve"> </w:t>
      </w:r>
      <w:r>
        <w:rPr>
          <w:rFonts w:cstheme="minorHAnsi"/>
          <w:lang w:val="en-GB"/>
        </w:rPr>
        <w:t>did</w:t>
      </w:r>
      <w:r w:rsidR="008618A9" w:rsidRPr="008618A9">
        <w:rPr>
          <w:rFonts w:cstheme="minorHAnsi"/>
          <w:lang w:val="en-GB"/>
        </w:rPr>
        <w:t xml:space="preserve"> not </w:t>
      </w:r>
      <w:r w:rsidR="00434CBB">
        <w:rPr>
          <w:rFonts w:cstheme="minorHAnsi"/>
          <w:lang w:val="en-GB"/>
        </w:rPr>
        <w:t xml:space="preserve">only </w:t>
      </w:r>
      <w:r w:rsidR="008618A9" w:rsidRPr="008618A9">
        <w:rPr>
          <w:rFonts w:cstheme="minorHAnsi"/>
          <w:lang w:val="en-GB"/>
        </w:rPr>
        <w:t xml:space="preserve">prohibit the entry of certain places but </w:t>
      </w:r>
      <w:r w:rsidR="008D2100">
        <w:rPr>
          <w:rFonts w:cstheme="minorHAnsi"/>
          <w:lang w:val="en-GB"/>
        </w:rPr>
        <w:t>rather constitute</w:t>
      </w:r>
      <w:r>
        <w:rPr>
          <w:rFonts w:cstheme="minorHAnsi"/>
          <w:lang w:val="en-GB"/>
        </w:rPr>
        <w:t>d</w:t>
      </w:r>
      <w:r w:rsidR="008618A9" w:rsidRPr="008618A9">
        <w:rPr>
          <w:rFonts w:cstheme="minorHAnsi"/>
          <w:lang w:val="en-GB"/>
        </w:rPr>
        <w:t xml:space="preserve"> a general exit ban. This contradict</w:t>
      </w:r>
      <w:r>
        <w:rPr>
          <w:rFonts w:cstheme="minorHAnsi"/>
          <w:lang w:val="en-GB"/>
        </w:rPr>
        <w:t>ed</w:t>
      </w:r>
      <w:r w:rsidR="008618A9" w:rsidRPr="008618A9">
        <w:rPr>
          <w:rFonts w:cstheme="minorHAnsi"/>
          <w:lang w:val="en-GB"/>
        </w:rPr>
        <w:t xml:space="preserve"> </w:t>
      </w:r>
      <w:r w:rsidR="008618A9" w:rsidRPr="008618A9">
        <w:rPr>
          <w:rFonts w:eastAsia="Times New Roman" w:cstheme="minorHAnsi"/>
          <w:lang w:val="en-GB" w:eastAsia="de-AT"/>
        </w:rPr>
        <w:t xml:space="preserve">§ </w:t>
      </w:r>
      <w:r w:rsidR="008618A9" w:rsidRPr="008618A9">
        <w:rPr>
          <w:rFonts w:cstheme="minorHAnsi"/>
          <w:lang w:val="en-GB"/>
        </w:rPr>
        <w:t>2 of the COVID</w:t>
      </w:r>
      <w:r>
        <w:rPr>
          <w:rFonts w:cstheme="minorHAnsi"/>
          <w:lang w:val="en-GB"/>
        </w:rPr>
        <w:t>-</w:t>
      </w:r>
      <w:r w:rsidR="008618A9" w:rsidRPr="008618A9">
        <w:rPr>
          <w:rFonts w:cstheme="minorHAnsi"/>
          <w:lang w:val="en-GB"/>
        </w:rPr>
        <w:t>19 Measures Act</w:t>
      </w:r>
      <w:r w:rsidR="00434CBB">
        <w:rPr>
          <w:rFonts w:cstheme="minorHAnsi"/>
          <w:lang w:val="en-GB"/>
        </w:rPr>
        <w:t>, which</w:t>
      </w:r>
      <w:r w:rsidR="008618A9" w:rsidRPr="00436902">
        <w:rPr>
          <w:rFonts w:cstheme="minorHAnsi"/>
          <w:lang w:val="en-GB"/>
        </w:rPr>
        <w:t xml:space="preserve"> does not authorize </w:t>
      </w:r>
      <w:r w:rsidR="00BA3EAB">
        <w:rPr>
          <w:rFonts w:cstheme="minorHAnsi"/>
          <w:lang w:val="en-GB"/>
        </w:rPr>
        <w:t xml:space="preserve">such </w:t>
      </w:r>
      <w:r w:rsidR="000A2E7C">
        <w:rPr>
          <w:rFonts w:cstheme="minorHAnsi"/>
          <w:lang w:val="en-GB"/>
        </w:rPr>
        <w:t>a general prohibition.</w:t>
      </w:r>
      <w:r w:rsidR="009A10B2">
        <w:rPr>
          <w:rFonts w:cstheme="minorHAnsi"/>
          <w:lang w:val="en-GB"/>
        </w:rPr>
        <w:t xml:space="preserve"> </w:t>
      </w:r>
      <w:r w:rsidR="008D2100" w:rsidRPr="00CF31DF">
        <w:rPr>
          <w:rFonts w:cstheme="minorHAnsi"/>
          <w:lang w:val="en-GB"/>
        </w:rPr>
        <w:t xml:space="preserve">The Court </w:t>
      </w:r>
      <w:r w:rsidR="003A2E23">
        <w:rPr>
          <w:rFonts w:cstheme="minorHAnsi"/>
          <w:lang w:val="en-GB"/>
        </w:rPr>
        <w:t>added</w:t>
      </w:r>
      <w:r w:rsidR="008D2100">
        <w:rPr>
          <w:rFonts w:cstheme="minorHAnsi"/>
          <w:lang w:val="en-GB"/>
        </w:rPr>
        <w:t xml:space="preserve"> that this does not mean that</w:t>
      </w:r>
      <w:r w:rsidR="00CC10E4">
        <w:rPr>
          <w:rFonts w:cstheme="minorHAnsi"/>
          <w:lang w:val="en-GB"/>
        </w:rPr>
        <w:t xml:space="preserve"> </w:t>
      </w:r>
      <w:r w:rsidR="008618A9" w:rsidRPr="00436902">
        <w:rPr>
          <w:rFonts w:cstheme="minorHAnsi"/>
          <w:lang w:val="en-GB"/>
        </w:rPr>
        <w:t>an exit ban</w:t>
      </w:r>
      <w:r>
        <w:rPr>
          <w:rFonts w:cstheme="minorHAnsi"/>
          <w:lang w:val="en-GB"/>
        </w:rPr>
        <w:t xml:space="preserve"> could not be justified in specific circumstances</w:t>
      </w:r>
      <w:r w:rsidR="008618A9" w:rsidRPr="00436902">
        <w:rPr>
          <w:rFonts w:cstheme="minorHAnsi"/>
          <w:lang w:val="en-GB"/>
        </w:rPr>
        <w:t xml:space="preserve"> if such a measure </w:t>
      </w:r>
      <w:r w:rsidR="00CC10E4">
        <w:rPr>
          <w:rFonts w:cstheme="minorHAnsi"/>
          <w:lang w:val="en-GB"/>
        </w:rPr>
        <w:t xml:space="preserve">can be </w:t>
      </w:r>
      <w:r w:rsidR="008618A9" w:rsidRPr="00436902">
        <w:rPr>
          <w:rFonts w:cstheme="minorHAnsi"/>
          <w:lang w:val="en-GB"/>
        </w:rPr>
        <w:t>prove</w:t>
      </w:r>
      <w:r w:rsidR="00CC10E4">
        <w:rPr>
          <w:rFonts w:cstheme="minorHAnsi"/>
          <w:lang w:val="en-GB"/>
        </w:rPr>
        <w:t>d</w:t>
      </w:r>
      <w:r w:rsidR="008618A9" w:rsidRPr="00436902">
        <w:rPr>
          <w:rFonts w:cstheme="minorHAnsi"/>
          <w:lang w:val="en-GB"/>
        </w:rPr>
        <w:t xml:space="preserve"> </w:t>
      </w:r>
      <w:r w:rsidR="008D2100" w:rsidRPr="00436902">
        <w:rPr>
          <w:rFonts w:cstheme="minorHAnsi"/>
          <w:lang w:val="en-GB"/>
        </w:rPr>
        <w:t xml:space="preserve">to be </w:t>
      </w:r>
      <w:r w:rsidR="008618A9" w:rsidRPr="00436902">
        <w:rPr>
          <w:rFonts w:cstheme="minorHAnsi"/>
          <w:lang w:val="en-GB"/>
        </w:rPr>
        <w:t>proportionate.</w:t>
      </w:r>
      <w:r w:rsidR="008D2100" w:rsidRPr="004E4D0E">
        <w:rPr>
          <w:rFonts w:cstheme="minorHAnsi"/>
          <w:color w:val="FF0000"/>
          <w:lang w:val="en-GB"/>
        </w:rPr>
        <w:t xml:space="preserve"> </w:t>
      </w:r>
      <w:r w:rsidR="008618A9" w:rsidRPr="00436902">
        <w:rPr>
          <w:rFonts w:cstheme="minorHAnsi"/>
          <w:lang w:val="en-GB"/>
        </w:rPr>
        <w:t xml:space="preserve">In any case, such a far-reaching restriction of free movement, which in principle abrogates this right, </w:t>
      </w:r>
      <w:r w:rsidR="00197494">
        <w:rPr>
          <w:rFonts w:cstheme="minorHAnsi"/>
          <w:lang w:val="en-GB"/>
        </w:rPr>
        <w:t>would require</w:t>
      </w:r>
      <w:r w:rsidR="008618A9" w:rsidRPr="00436902">
        <w:rPr>
          <w:rFonts w:cstheme="minorHAnsi"/>
          <w:lang w:val="en-GB"/>
        </w:rPr>
        <w:t xml:space="preserve"> a specific </w:t>
      </w:r>
      <w:r w:rsidR="00AE0994">
        <w:rPr>
          <w:rFonts w:cstheme="minorHAnsi"/>
          <w:lang w:val="en-GB"/>
        </w:rPr>
        <w:t>statutory authorisation</w:t>
      </w:r>
      <w:r w:rsidR="008D2100">
        <w:rPr>
          <w:rFonts w:cstheme="minorHAnsi"/>
          <w:lang w:val="en-GB"/>
        </w:rPr>
        <w:t>.</w:t>
      </w:r>
      <w:r w:rsidR="008618A9" w:rsidRPr="004E4D0E">
        <w:rPr>
          <w:rFonts w:cstheme="minorHAnsi"/>
          <w:color w:val="FF0000"/>
          <w:lang w:val="en-GB"/>
        </w:rPr>
        <w:t xml:space="preserve"> </w:t>
      </w:r>
    </w:p>
    <w:p w:rsidR="00EF0CE5" w:rsidRPr="00436902" w:rsidRDefault="00CF31DF" w:rsidP="000F2E7E">
      <w:pPr>
        <w:spacing w:before="100" w:beforeAutospacing="1" w:after="100" w:afterAutospacing="1" w:line="360" w:lineRule="auto"/>
        <w:jc w:val="both"/>
        <w:rPr>
          <w:rFonts w:cstheme="minorHAnsi"/>
          <w:lang w:val="en-GB"/>
        </w:rPr>
      </w:pPr>
      <w:r w:rsidRPr="00CF31DF">
        <w:rPr>
          <w:rFonts w:cstheme="minorHAnsi"/>
          <w:lang w:val="en-GB"/>
        </w:rPr>
        <w:t>The Constitutional Court</w:t>
      </w:r>
      <w:r w:rsidR="00D77B70">
        <w:rPr>
          <w:rFonts w:cstheme="minorHAnsi"/>
          <w:lang w:val="en-GB"/>
        </w:rPr>
        <w:t xml:space="preserve"> </w:t>
      </w:r>
      <w:r w:rsidR="00F24727">
        <w:rPr>
          <w:rFonts w:cstheme="minorHAnsi"/>
          <w:lang w:val="en-GB"/>
        </w:rPr>
        <w:t xml:space="preserve">therefore </w:t>
      </w:r>
      <w:r w:rsidRPr="00CF31DF">
        <w:rPr>
          <w:rFonts w:cstheme="minorHAnsi"/>
          <w:lang w:val="en-GB"/>
        </w:rPr>
        <w:t>concluded that</w:t>
      </w:r>
      <w:r w:rsidR="00BD6F82">
        <w:rPr>
          <w:rFonts w:cstheme="minorHAnsi"/>
          <w:lang w:val="en-GB"/>
        </w:rPr>
        <w:t xml:space="preserve"> </w:t>
      </w:r>
      <w:r w:rsidR="005C637D">
        <w:rPr>
          <w:rFonts w:cstheme="minorHAnsi"/>
          <w:lang w:val="en-GB"/>
        </w:rPr>
        <w:t>regulation-98</w:t>
      </w:r>
      <w:r w:rsidR="00D77B70">
        <w:rPr>
          <w:rFonts w:cstheme="minorHAnsi"/>
          <w:lang w:val="en-GB"/>
        </w:rPr>
        <w:t xml:space="preserve"> was unlawful because it</w:t>
      </w:r>
      <w:r w:rsidR="008618A9" w:rsidRPr="00436902">
        <w:rPr>
          <w:rFonts w:cstheme="minorHAnsi"/>
          <w:lang w:val="en-GB"/>
        </w:rPr>
        <w:t xml:space="preserve"> </w:t>
      </w:r>
      <w:r w:rsidR="00CC208D">
        <w:rPr>
          <w:rFonts w:cstheme="minorHAnsi"/>
          <w:lang w:val="en-GB"/>
        </w:rPr>
        <w:t xml:space="preserve">lacked a sufficient legal </w:t>
      </w:r>
      <w:r w:rsidR="00AE0994">
        <w:rPr>
          <w:rFonts w:cstheme="minorHAnsi"/>
          <w:lang w:val="en-GB"/>
        </w:rPr>
        <w:t>authorisation</w:t>
      </w:r>
      <w:r w:rsidR="00CC208D">
        <w:rPr>
          <w:rFonts w:cstheme="minorHAnsi"/>
          <w:lang w:val="en-GB"/>
        </w:rPr>
        <w:t>.</w:t>
      </w:r>
    </w:p>
    <w:p w:rsidR="00F17713" w:rsidRPr="001331EA" w:rsidRDefault="00F17713" w:rsidP="000F2E7E">
      <w:pPr>
        <w:spacing w:before="240" w:line="360" w:lineRule="auto"/>
        <w:jc w:val="both"/>
        <w:rPr>
          <w:rFonts w:cstheme="minorHAnsi"/>
          <w:lang w:val="en-GB"/>
        </w:rPr>
      </w:pPr>
      <w:r w:rsidRPr="001331EA">
        <w:rPr>
          <w:rFonts w:cstheme="minorHAnsi"/>
          <w:lang w:val="en-GB"/>
        </w:rPr>
        <w:t>Cross-references:</w:t>
      </w:r>
    </w:p>
    <w:p w:rsidR="00F17713" w:rsidRPr="00F17713" w:rsidRDefault="00F17713" w:rsidP="000F2E7E">
      <w:pPr>
        <w:spacing w:before="100" w:beforeAutospacing="1" w:after="100" w:afterAutospacing="1" w:line="360" w:lineRule="auto"/>
        <w:jc w:val="both"/>
        <w:rPr>
          <w:rFonts w:cstheme="minorHAnsi"/>
          <w:color w:val="00B050"/>
          <w:lang w:val="en-GB"/>
        </w:rPr>
      </w:pPr>
      <w:r w:rsidRPr="001331EA">
        <w:rPr>
          <w:rFonts w:cstheme="minorHAnsi"/>
          <w:lang w:val="en-GB"/>
        </w:rPr>
        <w:t>European Court of Human Rights:</w:t>
      </w:r>
    </w:p>
    <w:p w:rsidR="00F17713" w:rsidRPr="002769B5" w:rsidRDefault="00F17713" w:rsidP="000F2E7E">
      <w:pPr>
        <w:pStyle w:val="ListParagraph"/>
        <w:numPr>
          <w:ilvl w:val="0"/>
          <w:numId w:val="2"/>
        </w:numPr>
        <w:spacing w:before="240" w:line="360" w:lineRule="auto"/>
        <w:ind w:left="0" w:firstLine="0"/>
        <w:rPr>
          <w:rFonts w:asciiTheme="minorHAnsi" w:eastAsiaTheme="minorHAnsi" w:hAnsiTheme="minorHAnsi" w:cstheme="minorHAnsi"/>
          <w:i/>
          <w:sz w:val="22"/>
          <w:szCs w:val="22"/>
          <w:lang w:val="en-GB" w:eastAsia="en-US"/>
        </w:rPr>
      </w:pPr>
      <w:r w:rsidRPr="002769B5">
        <w:rPr>
          <w:rFonts w:asciiTheme="minorHAnsi" w:eastAsiaTheme="minorHAnsi" w:hAnsiTheme="minorHAnsi" w:cstheme="minorHAnsi"/>
          <w:i/>
          <w:sz w:val="22"/>
          <w:szCs w:val="22"/>
          <w:lang w:val="en-GB" w:eastAsia="en-US"/>
        </w:rPr>
        <w:t>Raimondo</w:t>
      </w:r>
      <w:r w:rsidRPr="007B5BCA">
        <w:rPr>
          <w:rFonts w:asciiTheme="minorHAnsi" w:eastAsiaTheme="minorHAnsi" w:hAnsiTheme="minorHAnsi" w:cstheme="minorHAnsi"/>
          <w:sz w:val="22"/>
          <w:szCs w:val="22"/>
          <w:lang w:val="en-GB" w:eastAsia="en-US"/>
        </w:rPr>
        <w:t>, no. 12.954/87, 22.2.1994</w:t>
      </w:r>
    </w:p>
    <w:p w:rsidR="00F17713" w:rsidRPr="002769B5" w:rsidRDefault="00F17713" w:rsidP="000F2E7E">
      <w:pPr>
        <w:pStyle w:val="ListParagraph"/>
        <w:numPr>
          <w:ilvl w:val="0"/>
          <w:numId w:val="2"/>
        </w:numPr>
        <w:spacing w:before="240" w:line="360" w:lineRule="auto"/>
        <w:ind w:left="0" w:firstLine="0"/>
        <w:rPr>
          <w:rFonts w:asciiTheme="minorHAnsi" w:eastAsiaTheme="minorHAnsi" w:hAnsiTheme="minorHAnsi" w:cstheme="minorHAnsi"/>
          <w:i/>
          <w:sz w:val="22"/>
          <w:szCs w:val="22"/>
          <w:lang w:val="en-GB" w:eastAsia="en-US"/>
        </w:rPr>
      </w:pPr>
      <w:r w:rsidRPr="002769B5">
        <w:rPr>
          <w:rFonts w:asciiTheme="minorHAnsi" w:eastAsiaTheme="minorHAnsi" w:hAnsiTheme="minorHAnsi" w:cstheme="minorHAnsi"/>
          <w:i/>
          <w:sz w:val="22"/>
          <w:szCs w:val="22"/>
          <w:lang w:val="en-GB" w:eastAsia="en-US"/>
        </w:rPr>
        <w:t xml:space="preserve">Vito </w:t>
      </w:r>
      <w:proofErr w:type="spellStart"/>
      <w:r w:rsidRPr="002769B5">
        <w:rPr>
          <w:rFonts w:asciiTheme="minorHAnsi" w:eastAsiaTheme="minorHAnsi" w:hAnsiTheme="minorHAnsi" w:cstheme="minorHAnsi"/>
          <w:i/>
          <w:sz w:val="22"/>
          <w:szCs w:val="22"/>
          <w:lang w:val="en-GB" w:eastAsia="en-US"/>
        </w:rPr>
        <w:t>Sante</w:t>
      </w:r>
      <w:proofErr w:type="spellEnd"/>
      <w:r w:rsidRPr="002769B5">
        <w:rPr>
          <w:rFonts w:asciiTheme="minorHAnsi" w:eastAsiaTheme="minorHAnsi" w:hAnsiTheme="minorHAnsi" w:cstheme="minorHAnsi"/>
          <w:i/>
          <w:sz w:val="22"/>
          <w:szCs w:val="22"/>
          <w:lang w:val="en-GB" w:eastAsia="en-US"/>
        </w:rPr>
        <w:t xml:space="preserve"> Santoro</w:t>
      </w:r>
      <w:r w:rsidRPr="007B5BCA">
        <w:rPr>
          <w:rFonts w:asciiTheme="minorHAnsi" w:eastAsiaTheme="minorHAnsi" w:hAnsiTheme="minorHAnsi" w:cstheme="minorHAnsi"/>
          <w:sz w:val="22"/>
          <w:szCs w:val="22"/>
          <w:lang w:val="en-GB" w:eastAsia="en-US"/>
        </w:rPr>
        <w:t>, no. 36.681/97, 1.7.2004</w:t>
      </w:r>
    </w:p>
    <w:p w:rsidR="00F17713" w:rsidRDefault="00F17713" w:rsidP="002769B5">
      <w:pPr>
        <w:spacing w:before="240" w:line="360" w:lineRule="auto"/>
        <w:jc w:val="both"/>
        <w:rPr>
          <w:rFonts w:cstheme="minorHAnsi"/>
          <w:lang w:val="en-GB"/>
        </w:rPr>
      </w:pPr>
      <w:r w:rsidRPr="001331EA">
        <w:rPr>
          <w:rFonts w:cstheme="minorHAnsi"/>
          <w:lang w:val="en-GB"/>
        </w:rPr>
        <w:t>Languages:</w:t>
      </w:r>
      <w:r>
        <w:rPr>
          <w:rFonts w:cstheme="minorHAnsi"/>
          <w:lang w:val="en-GB"/>
        </w:rPr>
        <w:t xml:space="preserve"> </w:t>
      </w:r>
      <w:r w:rsidRPr="001331EA">
        <w:rPr>
          <w:rFonts w:cstheme="minorHAnsi"/>
          <w:lang w:val="en-GB"/>
        </w:rPr>
        <w:t>German.</w:t>
      </w:r>
    </w:p>
    <w:p w:rsidR="00304F72" w:rsidRDefault="00304F72">
      <w:pPr>
        <w:rPr>
          <w:rFonts w:cstheme="minorHAnsi"/>
          <w:lang w:val="en-GB"/>
        </w:rPr>
      </w:pPr>
      <w:r>
        <w:rPr>
          <w:rFonts w:cstheme="minorHAnsi"/>
          <w:lang w:val="en-GB"/>
        </w:rPr>
        <w:br w:type="page"/>
      </w:r>
    </w:p>
    <w:p w:rsidR="00304F72" w:rsidRPr="00304F72" w:rsidRDefault="00304F72" w:rsidP="00304F72">
      <w:pPr>
        <w:spacing w:before="240" w:line="360" w:lineRule="auto"/>
        <w:jc w:val="both"/>
        <w:rPr>
          <w:rFonts w:cstheme="minorHAnsi"/>
          <w:lang w:val="en-GB"/>
        </w:rPr>
      </w:pPr>
      <w:r w:rsidRPr="00304F72">
        <w:rPr>
          <w:rFonts w:cstheme="minorHAnsi"/>
          <w:lang w:val="en-GB"/>
        </w:rPr>
        <w:lastRenderedPageBreak/>
        <w:t xml:space="preserve">a) Austria / b) Constitutional Court / c) / d) </w:t>
      </w:r>
      <w:r w:rsidRPr="00304F72">
        <w:rPr>
          <w:rFonts w:cstheme="minorHAnsi"/>
          <w:lang w:val="en-US"/>
        </w:rPr>
        <w:t>1</w:t>
      </w:r>
      <w:r>
        <w:rPr>
          <w:rFonts w:cstheme="minorHAnsi"/>
          <w:lang w:val="en-US"/>
        </w:rPr>
        <w:t>4</w:t>
      </w:r>
      <w:r w:rsidRPr="00304F72">
        <w:rPr>
          <w:rFonts w:cstheme="minorHAnsi"/>
          <w:lang w:val="en-US"/>
        </w:rPr>
        <w:t>.0</w:t>
      </w:r>
      <w:r>
        <w:rPr>
          <w:rFonts w:cstheme="minorHAnsi"/>
          <w:lang w:val="en-US"/>
        </w:rPr>
        <w:t>7</w:t>
      </w:r>
      <w:r w:rsidRPr="00304F72">
        <w:rPr>
          <w:rFonts w:cstheme="minorHAnsi"/>
          <w:lang w:val="en-US"/>
        </w:rPr>
        <w:t xml:space="preserve">.2020 </w:t>
      </w:r>
      <w:r w:rsidRPr="00304F72">
        <w:rPr>
          <w:rFonts w:cstheme="minorHAnsi"/>
          <w:lang w:val="en-GB"/>
        </w:rPr>
        <w:t xml:space="preserve">/ e) </w:t>
      </w:r>
      <w:r>
        <w:rPr>
          <w:rFonts w:cstheme="minorHAnsi"/>
          <w:lang w:val="en-GB"/>
        </w:rPr>
        <w:t>G 202/2020</w:t>
      </w:r>
      <w:r w:rsidRPr="00304F72">
        <w:rPr>
          <w:rFonts w:cstheme="minorHAnsi"/>
          <w:lang w:val="en-GB"/>
        </w:rPr>
        <w:t xml:space="preserve"> /</w:t>
      </w:r>
      <w:r w:rsidRPr="00304F72">
        <w:rPr>
          <w:rFonts w:cstheme="minorHAnsi"/>
          <w:lang w:val="en-US"/>
        </w:rPr>
        <w:t xml:space="preserve"> </w:t>
      </w:r>
      <w:r w:rsidRPr="00304F72">
        <w:rPr>
          <w:rFonts w:cstheme="minorHAnsi"/>
          <w:lang w:val="en-GB"/>
        </w:rPr>
        <w:t>f) / g) ECLI:AT:VFGH:2020:</w:t>
      </w:r>
      <w:r>
        <w:rPr>
          <w:rFonts w:cstheme="minorHAnsi"/>
          <w:lang w:val="en-GB"/>
        </w:rPr>
        <w:t>G202</w:t>
      </w:r>
      <w:r w:rsidRPr="00304F72">
        <w:rPr>
          <w:rFonts w:cstheme="minorHAnsi"/>
          <w:lang w:val="en-GB"/>
        </w:rPr>
        <w:t>.20</w:t>
      </w:r>
      <w:r>
        <w:rPr>
          <w:rFonts w:cstheme="minorHAnsi"/>
          <w:lang w:val="en-GB"/>
        </w:rPr>
        <w:t>20</w:t>
      </w:r>
      <w:r w:rsidRPr="00304F72">
        <w:rPr>
          <w:rFonts w:cstheme="minorHAnsi"/>
          <w:lang w:val="en-GB"/>
        </w:rPr>
        <w:t xml:space="preserve"> / h) CODICES (German).</w:t>
      </w:r>
    </w:p>
    <w:p w:rsidR="00B86B8D" w:rsidRDefault="00B86B8D" w:rsidP="00B86B8D">
      <w:pPr>
        <w:spacing w:before="240" w:line="360" w:lineRule="auto"/>
        <w:jc w:val="both"/>
        <w:rPr>
          <w:rFonts w:cstheme="minorHAnsi"/>
          <w:i/>
          <w:lang w:val="en-GB"/>
        </w:rPr>
      </w:pPr>
      <w:r w:rsidRPr="000A0497">
        <w:rPr>
          <w:rFonts w:cstheme="minorHAnsi"/>
          <w:i/>
          <w:lang w:val="en-GB"/>
        </w:rPr>
        <w:t>Keywords of the systematic thesaurus:</w:t>
      </w:r>
    </w:p>
    <w:p w:rsidR="00B86B8D" w:rsidRDefault="00B86B8D" w:rsidP="00B86B8D">
      <w:pPr>
        <w:spacing w:before="240" w:line="360" w:lineRule="auto"/>
        <w:jc w:val="both"/>
        <w:rPr>
          <w:rFonts w:cstheme="minorHAnsi"/>
          <w:lang w:val="en-GB"/>
        </w:rPr>
      </w:pPr>
      <w:r>
        <w:rPr>
          <w:rFonts w:cstheme="minorHAnsi"/>
          <w:lang w:val="en-GB"/>
        </w:rPr>
        <w:t xml:space="preserve">5.1.5 Fundamental Rights – General questions – </w:t>
      </w:r>
      <w:r w:rsidRPr="007849AB">
        <w:rPr>
          <w:rFonts w:cstheme="minorHAnsi"/>
          <w:b/>
          <w:lang w:val="en-GB"/>
        </w:rPr>
        <w:t>Emergency situations</w:t>
      </w:r>
    </w:p>
    <w:p w:rsidR="00F27572" w:rsidRDefault="00F27572" w:rsidP="00B86B8D">
      <w:pPr>
        <w:spacing w:before="240" w:line="360" w:lineRule="auto"/>
        <w:jc w:val="both"/>
        <w:rPr>
          <w:rFonts w:cstheme="minorHAnsi"/>
          <w:b/>
          <w:lang w:val="en-GB"/>
        </w:rPr>
      </w:pPr>
      <w:r>
        <w:rPr>
          <w:rFonts w:cstheme="minorHAnsi"/>
          <w:lang w:val="en-GB"/>
        </w:rPr>
        <w:t xml:space="preserve">5.2 Fundamental Rights – </w:t>
      </w:r>
      <w:r>
        <w:rPr>
          <w:rFonts w:cstheme="minorHAnsi"/>
          <w:b/>
          <w:lang w:val="en-GB"/>
        </w:rPr>
        <w:t>Equality</w:t>
      </w:r>
    </w:p>
    <w:p w:rsidR="00F27572" w:rsidRPr="00F27572" w:rsidRDefault="00F27572" w:rsidP="00B86B8D">
      <w:pPr>
        <w:spacing w:before="240" w:line="360" w:lineRule="auto"/>
        <w:jc w:val="both"/>
        <w:rPr>
          <w:rFonts w:cstheme="minorHAnsi"/>
          <w:b/>
          <w:lang w:val="en-GB"/>
        </w:rPr>
      </w:pPr>
      <w:r>
        <w:rPr>
          <w:rFonts w:cstheme="minorHAnsi"/>
          <w:lang w:val="en-GB"/>
        </w:rPr>
        <w:t xml:space="preserve">5.3.39.3 Fundamental Rights – Civil and political rights – Right to property – </w:t>
      </w:r>
      <w:r>
        <w:rPr>
          <w:rFonts w:cstheme="minorHAnsi"/>
          <w:b/>
          <w:lang w:val="en-GB"/>
        </w:rPr>
        <w:t>Other limitations</w:t>
      </w:r>
    </w:p>
    <w:p w:rsidR="00B86B8D" w:rsidRPr="000A0497" w:rsidRDefault="00B86B8D" w:rsidP="00B86B8D">
      <w:pPr>
        <w:spacing w:before="240" w:line="360" w:lineRule="auto"/>
        <w:jc w:val="both"/>
        <w:rPr>
          <w:rFonts w:cstheme="minorHAnsi"/>
          <w:i/>
          <w:lang w:val="en-GB"/>
        </w:rPr>
      </w:pPr>
      <w:r w:rsidRPr="000A0497">
        <w:rPr>
          <w:rFonts w:cstheme="minorHAnsi"/>
          <w:i/>
          <w:lang w:val="en-GB"/>
        </w:rPr>
        <w:t>Keywords of the alphabetical index:</w:t>
      </w:r>
    </w:p>
    <w:p w:rsidR="00B86B8D" w:rsidRPr="000A0497" w:rsidRDefault="00F27572" w:rsidP="00B86B8D">
      <w:pPr>
        <w:spacing w:before="240" w:line="360" w:lineRule="auto"/>
        <w:jc w:val="both"/>
        <w:rPr>
          <w:rFonts w:cstheme="minorHAnsi"/>
          <w:lang w:val="en-GB"/>
        </w:rPr>
      </w:pPr>
      <w:r>
        <w:rPr>
          <w:rFonts w:cstheme="minorHAnsi"/>
          <w:lang w:val="en-GB"/>
        </w:rPr>
        <w:t>Epidemic / Right to property, compensation for loss of earnings.</w:t>
      </w:r>
    </w:p>
    <w:p w:rsidR="004C141A" w:rsidRPr="00442E38" w:rsidRDefault="004C141A" w:rsidP="004C141A">
      <w:pPr>
        <w:spacing w:before="240" w:line="360" w:lineRule="auto"/>
        <w:rPr>
          <w:rFonts w:cstheme="minorHAnsi"/>
          <w:i/>
          <w:lang w:val="en-GB"/>
        </w:rPr>
      </w:pPr>
      <w:r w:rsidRPr="00442E38">
        <w:rPr>
          <w:rFonts w:cstheme="minorHAnsi"/>
          <w:i/>
          <w:lang w:val="en-GB"/>
        </w:rPr>
        <w:t>Headnotes:</w:t>
      </w:r>
    </w:p>
    <w:p w:rsidR="004C141A" w:rsidRPr="00442E38" w:rsidRDefault="004C141A" w:rsidP="002C485E">
      <w:pPr>
        <w:spacing w:before="240" w:line="360" w:lineRule="auto"/>
        <w:jc w:val="both"/>
        <w:rPr>
          <w:rFonts w:cstheme="minorHAnsi"/>
          <w:color w:val="222222"/>
          <w:lang w:val="en-GB" w:eastAsia="de-AT"/>
        </w:rPr>
      </w:pPr>
      <w:r w:rsidRPr="00442E38">
        <w:rPr>
          <w:rFonts w:cstheme="minorHAnsi"/>
          <w:color w:val="222222"/>
          <w:lang w:val="en-GB"/>
        </w:rPr>
        <w:t xml:space="preserve">During the </w:t>
      </w:r>
      <w:r w:rsidRPr="00442E38">
        <w:rPr>
          <w:rFonts w:cstheme="minorHAnsi"/>
          <w:lang w:val="en-GB"/>
        </w:rPr>
        <w:t xml:space="preserve">COVID-19 </w:t>
      </w:r>
      <w:r w:rsidRPr="00442E38">
        <w:rPr>
          <w:rFonts w:cstheme="minorHAnsi"/>
          <w:color w:val="222222"/>
          <w:lang w:val="en-GB"/>
        </w:rPr>
        <w:t xml:space="preserve">crisis, several </w:t>
      </w:r>
      <w:r w:rsidRPr="00442E38">
        <w:rPr>
          <w:rFonts w:cstheme="minorHAnsi"/>
          <w:lang w:val="en-GB"/>
        </w:rPr>
        <w:t xml:space="preserve">businesses and shops </w:t>
      </w:r>
      <w:r w:rsidRPr="00442E38">
        <w:rPr>
          <w:rFonts w:cstheme="minorHAnsi"/>
          <w:color w:val="222222"/>
          <w:lang w:val="en-GB"/>
        </w:rPr>
        <w:t xml:space="preserve">had to </w:t>
      </w:r>
      <w:r w:rsidRPr="00442E38">
        <w:rPr>
          <w:rFonts w:cstheme="minorHAnsi"/>
          <w:color w:val="222222"/>
          <w:lang w:val="en-GB" w:eastAsia="de-AT"/>
        </w:rPr>
        <w:t xml:space="preserve">temporarily </w:t>
      </w:r>
      <w:r w:rsidRPr="00442E38">
        <w:rPr>
          <w:rFonts w:cstheme="minorHAnsi"/>
          <w:color w:val="222222"/>
          <w:lang w:val="en-GB"/>
        </w:rPr>
        <w:t xml:space="preserve">close due to an entry ban </w:t>
      </w:r>
      <w:r w:rsidRPr="00442E38">
        <w:rPr>
          <w:rFonts w:cstheme="minorHAnsi"/>
          <w:lang w:val="en-GB"/>
        </w:rPr>
        <w:t>for customer areas</w:t>
      </w:r>
      <w:r w:rsidRPr="00442E38">
        <w:rPr>
          <w:rFonts w:cstheme="minorHAnsi"/>
          <w:color w:val="222222"/>
          <w:lang w:val="en-GB"/>
        </w:rPr>
        <w:t xml:space="preserve">. </w:t>
      </w:r>
      <w:r w:rsidRPr="00442E38">
        <w:rPr>
          <w:rFonts w:cstheme="minorHAnsi"/>
          <w:lang w:val="en-GB"/>
        </w:rPr>
        <w:t xml:space="preserve">The COVID-19 Measures Act does not provide for </w:t>
      </w:r>
      <w:r w:rsidRPr="00442E38">
        <w:rPr>
          <w:rFonts w:cstheme="minorHAnsi"/>
          <w:color w:val="222222"/>
          <w:lang w:val="en-GB"/>
        </w:rPr>
        <w:t>compensation</w:t>
      </w:r>
      <w:r w:rsidRPr="00442E38">
        <w:rPr>
          <w:rFonts w:cstheme="minorHAnsi"/>
          <w:lang w:val="en-GB"/>
        </w:rPr>
        <w:t xml:space="preserve"> for such situations. </w:t>
      </w:r>
      <w:r w:rsidR="00B86B8D">
        <w:rPr>
          <w:rFonts w:cstheme="minorHAnsi"/>
          <w:lang w:val="en-GB"/>
        </w:rPr>
        <w:t>However, t</w:t>
      </w:r>
      <w:r w:rsidRPr="00442E38">
        <w:rPr>
          <w:rFonts w:cstheme="minorHAnsi"/>
          <w:lang w:val="en-GB"/>
        </w:rPr>
        <w:t xml:space="preserve">his does not </w:t>
      </w:r>
      <w:r w:rsidRPr="00442E38">
        <w:rPr>
          <w:rFonts w:cstheme="minorHAnsi"/>
          <w:color w:val="222222"/>
          <w:lang w:val="en-GB"/>
        </w:rPr>
        <w:t>violate the fundamental right to property or the principle of equality</w:t>
      </w:r>
      <w:r w:rsidR="00B86B8D">
        <w:rPr>
          <w:rFonts w:cstheme="minorHAnsi"/>
          <w:color w:val="222222"/>
          <w:lang w:val="en-GB"/>
        </w:rPr>
        <w:t xml:space="preserve"> since the</w:t>
      </w:r>
      <w:r w:rsidRPr="00442E38">
        <w:rPr>
          <w:rFonts w:cstheme="minorHAnsi"/>
          <w:lang w:val="en-GB"/>
        </w:rPr>
        <w:t xml:space="preserve"> </w:t>
      </w:r>
      <w:r w:rsidRPr="00442E38">
        <w:rPr>
          <w:rFonts w:cstheme="minorHAnsi"/>
          <w:color w:val="222222"/>
          <w:lang w:val="en-GB"/>
        </w:rPr>
        <w:t>entry</w:t>
      </w:r>
      <w:r w:rsidRPr="00442E38">
        <w:rPr>
          <w:rFonts w:cstheme="minorHAnsi"/>
          <w:lang w:val="en-GB"/>
        </w:rPr>
        <w:t xml:space="preserve"> ban</w:t>
      </w:r>
      <w:r w:rsidR="00B86B8D">
        <w:rPr>
          <w:rFonts w:cstheme="minorHAnsi"/>
          <w:lang w:val="en-GB"/>
        </w:rPr>
        <w:t xml:space="preserve"> was</w:t>
      </w:r>
      <w:r w:rsidRPr="00442E38">
        <w:rPr>
          <w:rFonts w:cstheme="minorHAnsi"/>
          <w:color w:val="222222"/>
          <w:lang w:val="en-GB"/>
        </w:rPr>
        <w:t xml:space="preserve"> embedded in a comprehensive package of measures to </w:t>
      </w:r>
      <w:r w:rsidRPr="00442E38">
        <w:rPr>
          <w:rFonts w:cstheme="minorHAnsi"/>
          <w:lang w:val="en-GB"/>
        </w:rPr>
        <w:t xml:space="preserve">cushion </w:t>
      </w:r>
      <w:r w:rsidRPr="00442E38">
        <w:rPr>
          <w:rFonts w:cstheme="minorHAnsi"/>
          <w:color w:val="222222"/>
          <w:lang w:val="en-GB"/>
        </w:rPr>
        <w:t>the</w:t>
      </w:r>
      <w:r w:rsidR="00B86B8D">
        <w:rPr>
          <w:rFonts w:cstheme="minorHAnsi"/>
          <w:color w:val="222222"/>
          <w:lang w:val="en-GB"/>
        </w:rPr>
        <w:t xml:space="preserve"> economic</w:t>
      </w:r>
      <w:r w:rsidRPr="00442E38">
        <w:rPr>
          <w:rFonts w:cstheme="minorHAnsi"/>
          <w:color w:val="222222"/>
          <w:lang w:val="en-GB"/>
        </w:rPr>
        <w:t xml:space="preserve"> impact of the</w:t>
      </w:r>
      <w:r w:rsidRPr="00442E38">
        <w:rPr>
          <w:rFonts w:cstheme="minorHAnsi"/>
          <w:lang w:val="en-GB"/>
        </w:rPr>
        <w:t xml:space="preserve"> </w:t>
      </w:r>
      <w:r w:rsidRPr="00442E38">
        <w:rPr>
          <w:rFonts w:cstheme="minorHAnsi"/>
          <w:color w:val="222222"/>
          <w:lang w:val="en-GB"/>
        </w:rPr>
        <w:t>pandemic.</w:t>
      </w:r>
    </w:p>
    <w:p w:rsidR="004C141A" w:rsidRPr="00442E38" w:rsidRDefault="004C141A" w:rsidP="002C485E">
      <w:pPr>
        <w:spacing w:before="240" w:line="360" w:lineRule="auto"/>
        <w:jc w:val="both"/>
        <w:rPr>
          <w:rFonts w:cstheme="minorHAnsi"/>
          <w:i/>
          <w:lang w:val="en-GB"/>
        </w:rPr>
      </w:pPr>
      <w:r w:rsidRPr="00442E38">
        <w:rPr>
          <w:rFonts w:cstheme="minorHAnsi"/>
          <w:i/>
          <w:lang w:val="en-GB"/>
        </w:rPr>
        <w:t>Summary:</w:t>
      </w:r>
    </w:p>
    <w:p w:rsidR="004C141A" w:rsidRPr="00442E38" w:rsidRDefault="004C141A" w:rsidP="002C485E">
      <w:pPr>
        <w:spacing w:before="240" w:line="360" w:lineRule="auto"/>
        <w:jc w:val="both"/>
        <w:rPr>
          <w:rFonts w:cstheme="minorHAnsi"/>
          <w:lang w:val="en-GB"/>
        </w:rPr>
      </w:pPr>
      <w:r w:rsidRPr="00442E38">
        <w:rPr>
          <w:rFonts w:cstheme="minorHAnsi"/>
          <w:lang w:val="en-GB"/>
        </w:rPr>
        <w:t>1.</w:t>
      </w:r>
      <w:r w:rsidRPr="00442E38">
        <w:rPr>
          <w:rFonts w:cstheme="minorHAnsi"/>
          <w:lang w:val="en-GB"/>
        </w:rPr>
        <w:tab/>
      </w:r>
      <w:r w:rsidRPr="00442E38">
        <w:rPr>
          <w:rFonts w:cstheme="minorHAnsi"/>
          <w:color w:val="222222"/>
          <w:lang w:val="en-GB"/>
        </w:rPr>
        <w:t xml:space="preserve">§ 1 of the </w:t>
      </w:r>
      <w:r w:rsidRPr="00442E38">
        <w:rPr>
          <w:rFonts w:cstheme="minorHAnsi"/>
          <w:lang w:val="en-GB" w:eastAsia="de-AT"/>
        </w:rPr>
        <w:t xml:space="preserve">COVID-19 </w:t>
      </w:r>
      <w:r w:rsidRPr="00442E38">
        <w:rPr>
          <w:rFonts w:cstheme="minorHAnsi"/>
          <w:lang w:val="en-US"/>
        </w:rPr>
        <w:t>regulation</w:t>
      </w:r>
      <w:r w:rsidR="005C637D">
        <w:rPr>
          <w:rFonts w:cstheme="minorHAnsi"/>
          <w:lang w:val="en-US"/>
        </w:rPr>
        <w:t xml:space="preserve"> of 15 March 2020,</w:t>
      </w:r>
      <w:r w:rsidRPr="00442E38">
        <w:rPr>
          <w:rFonts w:cstheme="minorHAnsi"/>
          <w:lang w:val="en-US"/>
        </w:rPr>
        <w:t xml:space="preserve"> Federal Law Gazette II No. 96/2020</w:t>
      </w:r>
      <w:r w:rsidR="005C637D">
        <w:rPr>
          <w:rFonts w:cstheme="minorHAnsi"/>
          <w:lang w:val="en-US"/>
        </w:rPr>
        <w:t xml:space="preserve"> (hereinafter referred to as "regulation-96"</w:t>
      </w:r>
      <w:r w:rsidRPr="00442E38">
        <w:rPr>
          <w:rFonts w:cstheme="minorHAnsi"/>
          <w:lang w:val="en-US"/>
        </w:rPr>
        <w:t>)</w:t>
      </w:r>
      <w:r w:rsidR="005C637D">
        <w:rPr>
          <w:rFonts w:cstheme="minorHAnsi"/>
          <w:lang w:val="en-US"/>
        </w:rPr>
        <w:t>,</w:t>
      </w:r>
      <w:r w:rsidRPr="00442E38">
        <w:rPr>
          <w:rFonts w:cstheme="minorHAnsi"/>
          <w:lang w:val="en-GB" w:eastAsia="de-AT"/>
        </w:rPr>
        <w:t xml:space="preserve"> </w:t>
      </w:r>
      <w:r w:rsidR="005C637D">
        <w:rPr>
          <w:rFonts w:cstheme="minorHAnsi"/>
          <w:lang w:val="en-GB"/>
        </w:rPr>
        <w:t>put a ban on entering</w:t>
      </w:r>
      <w:r w:rsidRPr="00442E38">
        <w:rPr>
          <w:rFonts w:cstheme="minorHAnsi"/>
          <w:lang w:val="en-GB"/>
        </w:rPr>
        <w:t xml:space="preserve"> customer areas of business premises. Therefore, shops had to close. § 2 of the </w:t>
      </w:r>
      <w:r w:rsidRPr="00442E38">
        <w:rPr>
          <w:rFonts w:cstheme="minorHAnsi"/>
          <w:lang w:val="en-US"/>
        </w:rPr>
        <w:t>regulation</w:t>
      </w:r>
      <w:r w:rsidR="005C637D">
        <w:rPr>
          <w:rFonts w:cstheme="minorHAnsi"/>
          <w:lang w:val="en-US"/>
        </w:rPr>
        <w:t>-96</w:t>
      </w:r>
      <w:r w:rsidRPr="00442E38">
        <w:rPr>
          <w:rFonts w:cstheme="minorHAnsi"/>
          <w:lang w:val="en-US"/>
        </w:rPr>
        <w:t xml:space="preserve"> </w:t>
      </w:r>
      <w:r w:rsidRPr="00442E38">
        <w:rPr>
          <w:rFonts w:cstheme="minorHAnsi"/>
          <w:lang w:val="en-GB"/>
        </w:rPr>
        <w:t>provided for certain exceptions. According to § 4, paragraph 2</w:t>
      </w:r>
      <w:r w:rsidR="005C637D">
        <w:rPr>
          <w:rFonts w:cstheme="minorHAnsi"/>
          <w:lang w:val="en-GB"/>
        </w:rPr>
        <w:t>,</w:t>
      </w:r>
      <w:r w:rsidRPr="00442E38">
        <w:rPr>
          <w:rFonts w:cstheme="minorHAnsi"/>
          <w:lang w:val="en-GB"/>
        </w:rPr>
        <w:t xml:space="preserve"> of the COVID-19 Measures Act</w:t>
      </w:r>
      <w:r w:rsidRPr="00442E38">
        <w:rPr>
          <w:rFonts w:cstheme="minorHAnsi"/>
          <w:lang w:val="en-GB"/>
        </w:rPr>
        <w:softHyphen/>
      </w:r>
      <w:r w:rsidRPr="00442E38">
        <w:rPr>
          <w:rFonts w:cstheme="minorHAnsi"/>
          <w:lang w:val="en-GB" w:eastAsia="de-AT"/>
        </w:rPr>
        <w:t xml:space="preserve"> </w:t>
      </w:r>
      <w:r w:rsidRPr="00442E38">
        <w:rPr>
          <w:rFonts w:cstheme="minorHAnsi"/>
          <w:color w:val="4D5156"/>
          <w:shd w:val="clear" w:color="auto" w:fill="FFFFFF"/>
          <w:lang w:val="en-GB"/>
        </w:rPr>
        <w:t>–</w:t>
      </w:r>
      <w:r w:rsidRPr="00442E38">
        <w:rPr>
          <w:rFonts w:cstheme="minorHAnsi"/>
          <w:lang w:val="en-GB" w:eastAsia="de-AT"/>
        </w:rPr>
        <w:t xml:space="preserve"> the legal basis of th</w:t>
      </w:r>
      <w:r w:rsidR="005C637D">
        <w:rPr>
          <w:rFonts w:cstheme="minorHAnsi"/>
          <w:lang w:val="en-GB" w:eastAsia="de-AT"/>
        </w:rPr>
        <w:t>at administrative</w:t>
      </w:r>
      <w:r w:rsidRPr="00442E38">
        <w:rPr>
          <w:rFonts w:cstheme="minorHAnsi"/>
          <w:lang w:val="en-GB" w:eastAsia="de-AT"/>
        </w:rPr>
        <w:t xml:space="preserve"> regulation </w:t>
      </w:r>
      <w:r w:rsidRPr="00442E38">
        <w:rPr>
          <w:rFonts w:cstheme="minorHAnsi"/>
          <w:color w:val="4D5156"/>
          <w:shd w:val="clear" w:color="auto" w:fill="FFFFFF"/>
          <w:lang w:val="en-GB"/>
        </w:rPr>
        <w:t>–</w:t>
      </w:r>
      <w:r w:rsidRPr="00442E38">
        <w:rPr>
          <w:rFonts w:cstheme="minorHAnsi"/>
          <w:lang w:val="en-US"/>
        </w:rPr>
        <w:t xml:space="preserve"> the provisions of the Epidemics Act 1950</w:t>
      </w:r>
      <w:r w:rsidRPr="00442E38">
        <w:rPr>
          <w:rFonts w:cstheme="minorHAnsi"/>
          <w:lang w:val="en-GB"/>
        </w:rPr>
        <w:t xml:space="preserve"> </w:t>
      </w:r>
      <w:r w:rsidRPr="00442E38">
        <w:rPr>
          <w:rFonts w:cstheme="minorHAnsi"/>
          <w:lang w:val="en-GB" w:eastAsia="de-AT"/>
        </w:rPr>
        <w:t xml:space="preserve">on the closure of establishments </w:t>
      </w:r>
      <w:r w:rsidRPr="00442E38">
        <w:rPr>
          <w:rFonts w:cstheme="minorHAnsi"/>
          <w:lang w:val="en-GB"/>
        </w:rPr>
        <w:t xml:space="preserve">are not applicable where a regulation </w:t>
      </w:r>
      <w:r w:rsidR="005C637D">
        <w:rPr>
          <w:rFonts w:cstheme="minorHAnsi"/>
          <w:lang w:val="en-GB"/>
        </w:rPr>
        <w:t>under</w:t>
      </w:r>
      <w:r w:rsidRPr="00442E38">
        <w:rPr>
          <w:rFonts w:cstheme="minorHAnsi"/>
          <w:lang w:val="en-GB"/>
        </w:rPr>
        <w:t xml:space="preserve"> § 1 of the COVID-19 Measures Act</w:t>
      </w:r>
      <w:r w:rsidR="005C637D">
        <w:rPr>
          <w:rFonts w:cstheme="minorHAnsi"/>
          <w:lang w:val="en-GB"/>
        </w:rPr>
        <w:t xml:space="preserve"> </w:t>
      </w:r>
      <w:r w:rsidR="005C637D">
        <w:rPr>
          <w:rFonts w:cstheme="minorHAnsi"/>
          <w:lang w:val="en-US"/>
        </w:rPr>
        <w:t>has been issued</w:t>
      </w:r>
      <w:r w:rsidRPr="00442E38">
        <w:rPr>
          <w:rFonts w:cstheme="minorHAnsi"/>
          <w:lang w:val="en-GB"/>
        </w:rPr>
        <w:t xml:space="preserve">. In contrast to the </w:t>
      </w:r>
      <w:r w:rsidRPr="00442E38">
        <w:rPr>
          <w:rFonts w:cstheme="minorHAnsi"/>
          <w:lang w:val="en-US"/>
        </w:rPr>
        <w:t>Epidemics Act 1950 (§</w:t>
      </w:r>
      <w:r>
        <w:rPr>
          <w:rFonts w:cstheme="minorHAnsi"/>
          <w:lang w:val="en-US"/>
        </w:rPr>
        <w:t> </w:t>
      </w:r>
      <w:r w:rsidRPr="00442E38">
        <w:rPr>
          <w:rFonts w:cstheme="minorHAnsi"/>
          <w:lang w:val="en-US"/>
        </w:rPr>
        <w:t>32),</w:t>
      </w:r>
      <w:r w:rsidR="002C485E">
        <w:rPr>
          <w:rFonts w:cstheme="minorHAnsi"/>
          <w:lang w:val="en-US"/>
        </w:rPr>
        <w:t xml:space="preserve"> however,</w:t>
      </w:r>
      <w:r w:rsidRPr="00442E38">
        <w:rPr>
          <w:rFonts w:cstheme="minorHAnsi"/>
          <w:lang w:val="en-US"/>
        </w:rPr>
        <w:t xml:space="preserve"> </w:t>
      </w:r>
      <w:r w:rsidRPr="00442E38">
        <w:rPr>
          <w:rFonts w:cstheme="minorHAnsi"/>
          <w:lang w:val="en-GB" w:eastAsia="de-AT"/>
        </w:rPr>
        <w:t xml:space="preserve">the COVID-19 </w:t>
      </w:r>
      <w:r w:rsidRPr="00442E38">
        <w:rPr>
          <w:rFonts w:cstheme="minorHAnsi"/>
          <w:lang w:val="en-GB"/>
        </w:rPr>
        <w:t xml:space="preserve">Measures Act </w:t>
      </w:r>
      <w:r w:rsidRPr="00442E38">
        <w:rPr>
          <w:rFonts w:cstheme="minorHAnsi"/>
          <w:lang w:val="en-GB" w:eastAsia="de-AT"/>
        </w:rPr>
        <w:t xml:space="preserve">does not provide for </w:t>
      </w:r>
      <w:r w:rsidR="002C485E">
        <w:rPr>
          <w:rFonts w:cstheme="minorHAnsi"/>
          <w:lang w:val="en-GB" w:eastAsia="de-AT"/>
        </w:rPr>
        <w:t>compensation for loss of earnings incurred by companies affected by measures taken under that act.</w:t>
      </w:r>
    </w:p>
    <w:p w:rsidR="004C141A" w:rsidRPr="00442E38" w:rsidRDefault="004C141A" w:rsidP="002C485E">
      <w:pPr>
        <w:spacing w:before="240" w:line="360" w:lineRule="auto"/>
        <w:jc w:val="both"/>
        <w:rPr>
          <w:rFonts w:cstheme="minorHAnsi"/>
          <w:lang w:val="en-GB"/>
        </w:rPr>
      </w:pPr>
      <w:r w:rsidRPr="00442E38">
        <w:rPr>
          <w:rFonts w:cstheme="minorHAnsi"/>
          <w:lang w:val="en-GB"/>
        </w:rPr>
        <w:t>2.</w:t>
      </w:r>
      <w:r w:rsidRPr="00442E38">
        <w:rPr>
          <w:rFonts w:cstheme="minorHAnsi"/>
          <w:lang w:val="en-GB"/>
        </w:rPr>
        <w:tab/>
        <w:t>The a</w:t>
      </w:r>
      <w:r w:rsidRPr="00442E38">
        <w:rPr>
          <w:rFonts w:cstheme="minorHAnsi"/>
          <w:color w:val="222222"/>
          <w:lang w:val="en-GB"/>
        </w:rPr>
        <w:t>pplicants</w:t>
      </w:r>
      <w:r w:rsidR="005C637D">
        <w:rPr>
          <w:rFonts w:cstheme="minorHAnsi"/>
          <w:color w:val="222222"/>
          <w:lang w:val="en-GB"/>
        </w:rPr>
        <w:t>,</w:t>
      </w:r>
      <w:r w:rsidRPr="00442E38">
        <w:rPr>
          <w:rFonts w:cstheme="minorHAnsi"/>
          <w:lang w:val="en-GB"/>
        </w:rPr>
        <w:t xml:space="preserve"> </w:t>
      </w:r>
      <w:r w:rsidR="005C637D">
        <w:rPr>
          <w:rFonts w:cstheme="minorHAnsi"/>
          <w:lang w:val="en-GB"/>
        </w:rPr>
        <w:t>business</w:t>
      </w:r>
      <w:r w:rsidRPr="00442E38">
        <w:rPr>
          <w:rFonts w:cstheme="minorHAnsi"/>
          <w:lang w:val="en-GB"/>
        </w:rPr>
        <w:t xml:space="preserve"> companies with </w:t>
      </w:r>
      <w:r w:rsidR="005C637D">
        <w:rPr>
          <w:rFonts w:cstheme="minorHAnsi"/>
          <w:lang w:val="en-GB"/>
        </w:rPr>
        <w:t>several</w:t>
      </w:r>
      <w:r w:rsidRPr="00442E38">
        <w:rPr>
          <w:rFonts w:cstheme="minorHAnsi"/>
          <w:lang w:val="en-GB"/>
        </w:rPr>
        <w:t xml:space="preserve"> branches in Austria</w:t>
      </w:r>
      <w:r w:rsidR="005C637D">
        <w:rPr>
          <w:rFonts w:cstheme="minorHAnsi"/>
          <w:lang w:val="en-GB"/>
        </w:rPr>
        <w:t>,</w:t>
      </w:r>
      <w:r w:rsidRPr="00442E38">
        <w:rPr>
          <w:rFonts w:cstheme="minorHAnsi"/>
          <w:lang w:val="en-GB"/>
        </w:rPr>
        <w:t xml:space="preserve"> filed a constitutional complaint with the Constitutional Court, alleging, in particular, the violation of the</w:t>
      </w:r>
      <w:r w:rsidR="005C637D">
        <w:rPr>
          <w:rFonts w:cstheme="minorHAnsi"/>
          <w:lang w:val="en-GB"/>
        </w:rPr>
        <w:t>ir</w:t>
      </w:r>
      <w:r w:rsidRPr="00442E38">
        <w:rPr>
          <w:rFonts w:cstheme="minorHAnsi"/>
          <w:lang w:val="en-GB"/>
        </w:rPr>
        <w:t xml:space="preserve"> right to property according to Article 5 of the Basic Law on the General Rights of </w:t>
      </w:r>
      <w:r w:rsidR="005C637D">
        <w:rPr>
          <w:rFonts w:cstheme="minorHAnsi"/>
          <w:lang w:val="en-GB"/>
        </w:rPr>
        <w:t>the Citizens of 21 December 1867</w:t>
      </w:r>
      <w:r w:rsidRPr="00442E38">
        <w:rPr>
          <w:rFonts w:cstheme="minorHAnsi"/>
          <w:lang w:val="en-GB"/>
        </w:rPr>
        <w:t xml:space="preserve"> (</w:t>
      </w:r>
      <w:proofErr w:type="spellStart"/>
      <w:r w:rsidR="005C637D">
        <w:rPr>
          <w:rFonts w:cstheme="minorHAnsi"/>
          <w:i/>
          <w:lang w:val="en-GB"/>
        </w:rPr>
        <w:t>Staatsgrundgesetz</w:t>
      </w:r>
      <w:proofErr w:type="spellEnd"/>
      <w:r w:rsidR="005C637D">
        <w:rPr>
          <w:rFonts w:cstheme="minorHAnsi"/>
          <w:i/>
          <w:lang w:val="en-GB"/>
        </w:rPr>
        <w:t xml:space="preserve"> </w:t>
      </w:r>
      <w:proofErr w:type="spellStart"/>
      <w:r w:rsidR="005C637D">
        <w:rPr>
          <w:rFonts w:cstheme="minorHAnsi"/>
          <w:i/>
          <w:lang w:val="en-GB"/>
        </w:rPr>
        <w:t>über</w:t>
      </w:r>
      <w:proofErr w:type="spellEnd"/>
      <w:r w:rsidR="005C637D">
        <w:rPr>
          <w:rFonts w:cstheme="minorHAnsi"/>
          <w:i/>
          <w:lang w:val="en-GB"/>
        </w:rPr>
        <w:t xml:space="preserve"> die </w:t>
      </w:r>
      <w:proofErr w:type="spellStart"/>
      <w:r w:rsidR="005C637D">
        <w:rPr>
          <w:rFonts w:cstheme="minorHAnsi"/>
          <w:i/>
          <w:lang w:val="en-GB"/>
        </w:rPr>
        <w:t>allgemeinen</w:t>
      </w:r>
      <w:proofErr w:type="spellEnd"/>
      <w:r w:rsidR="005C637D">
        <w:rPr>
          <w:rFonts w:cstheme="minorHAnsi"/>
          <w:i/>
          <w:lang w:val="en-GB"/>
        </w:rPr>
        <w:t xml:space="preserve"> </w:t>
      </w:r>
      <w:proofErr w:type="spellStart"/>
      <w:r w:rsidR="005C637D">
        <w:rPr>
          <w:rFonts w:cstheme="minorHAnsi"/>
          <w:i/>
          <w:lang w:val="en-GB"/>
        </w:rPr>
        <w:t>Rechte</w:t>
      </w:r>
      <w:proofErr w:type="spellEnd"/>
      <w:r w:rsidR="005C637D">
        <w:rPr>
          <w:rFonts w:cstheme="minorHAnsi"/>
          <w:i/>
          <w:lang w:val="en-GB"/>
        </w:rPr>
        <w:t xml:space="preserve"> der </w:t>
      </w:r>
      <w:proofErr w:type="spellStart"/>
      <w:r w:rsidR="005C637D">
        <w:rPr>
          <w:rFonts w:cstheme="minorHAnsi"/>
          <w:i/>
          <w:lang w:val="en-GB"/>
        </w:rPr>
        <w:t>Staatsbürger</w:t>
      </w:r>
      <w:proofErr w:type="spellEnd"/>
      <w:r w:rsidR="005C637D">
        <w:rPr>
          <w:rFonts w:cstheme="minorHAnsi"/>
          <w:i/>
          <w:lang w:val="en-GB"/>
        </w:rPr>
        <w:t xml:space="preserve"> – </w:t>
      </w:r>
      <w:proofErr w:type="spellStart"/>
      <w:r w:rsidR="005C637D">
        <w:rPr>
          <w:rFonts w:cstheme="minorHAnsi"/>
          <w:i/>
          <w:lang w:val="en-GB"/>
        </w:rPr>
        <w:t>StGG</w:t>
      </w:r>
      <w:proofErr w:type="spellEnd"/>
      <w:r w:rsidRPr="00442E38">
        <w:rPr>
          <w:rFonts w:cstheme="minorHAnsi"/>
          <w:lang w:val="en-GB"/>
        </w:rPr>
        <w:t>) and Article 1 First Additional Protocol to the ECHR, as well as</w:t>
      </w:r>
      <w:r>
        <w:rPr>
          <w:rFonts w:cstheme="minorHAnsi"/>
          <w:lang w:val="en-GB"/>
        </w:rPr>
        <w:t xml:space="preserve"> a violation of</w:t>
      </w:r>
      <w:r w:rsidRPr="00442E38">
        <w:rPr>
          <w:rFonts w:cstheme="minorHAnsi"/>
          <w:lang w:val="en-GB"/>
        </w:rPr>
        <w:t xml:space="preserve"> the constitutional principle of equality laid down in Article</w:t>
      </w:r>
      <w:r>
        <w:rPr>
          <w:rFonts w:cstheme="minorHAnsi"/>
          <w:lang w:val="en-GB"/>
        </w:rPr>
        <w:t> </w:t>
      </w:r>
      <w:r w:rsidRPr="00442E38">
        <w:rPr>
          <w:rFonts w:cstheme="minorHAnsi"/>
          <w:lang w:val="en-GB"/>
        </w:rPr>
        <w:t>7, paragraph 1</w:t>
      </w:r>
      <w:r w:rsidR="005C637D">
        <w:rPr>
          <w:rFonts w:cstheme="minorHAnsi"/>
          <w:lang w:val="en-GB"/>
        </w:rPr>
        <w:t>,</w:t>
      </w:r>
      <w:r w:rsidRPr="00442E38">
        <w:rPr>
          <w:rFonts w:cstheme="minorHAnsi"/>
          <w:lang w:val="en-GB"/>
        </w:rPr>
        <w:t xml:space="preserve"> of the Federal Constitutional Act and in Article 2 </w:t>
      </w:r>
      <w:proofErr w:type="spellStart"/>
      <w:r w:rsidRPr="00442E38">
        <w:rPr>
          <w:rFonts w:cstheme="minorHAnsi"/>
          <w:lang w:val="en-GB"/>
        </w:rPr>
        <w:t>StGG</w:t>
      </w:r>
      <w:proofErr w:type="spellEnd"/>
      <w:r w:rsidRPr="00442E38">
        <w:rPr>
          <w:rFonts w:cstheme="minorHAnsi"/>
          <w:lang w:val="en-GB"/>
        </w:rPr>
        <w:t xml:space="preserve">. </w:t>
      </w:r>
    </w:p>
    <w:p w:rsidR="004C141A" w:rsidRPr="00442E38" w:rsidRDefault="004C141A" w:rsidP="002C485E">
      <w:pPr>
        <w:spacing w:before="240" w:line="360" w:lineRule="auto"/>
        <w:jc w:val="both"/>
        <w:rPr>
          <w:rFonts w:cstheme="minorHAnsi"/>
          <w:lang w:val="en-GB"/>
        </w:rPr>
      </w:pPr>
      <w:r w:rsidRPr="00442E38">
        <w:rPr>
          <w:rFonts w:cstheme="minorHAnsi"/>
          <w:lang w:val="en-GB"/>
        </w:rPr>
        <w:lastRenderedPageBreak/>
        <w:t>3.1.</w:t>
      </w:r>
      <w:r w:rsidRPr="00442E38">
        <w:rPr>
          <w:rFonts w:cstheme="minorHAnsi"/>
          <w:lang w:val="en-GB"/>
        </w:rPr>
        <w:tab/>
        <w:t xml:space="preserve">The Constitutional </w:t>
      </w:r>
      <w:r w:rsidRPr="00442E38">
        <w:rPr>
          <w:rFonts w:cstheme="minorHAnsi"/>
          <w:color w:val="222222"/>
          <w:lang w:val="en-GB"/>
        </w:rPr>
        <w:t>Court</w:t>
      </w:r>
      <w:r w:rsidRPr="00442E38">
        <w:rPr>
          <w:rFonts w:cstheme="minorHAnsi"/>
          <w:lang w:val="en-GB"/>
        </w:rPr>
        <w:t xml:space="preserve"> held that </w:t>
      </w:r>
      <w:r w:rsidRPr="00442E38">
        <w:rPr>
          <w:rFonts w:cstheme="minorHAnsi"/>
          <w:lang w:val="en-GB" w:eastAsia="de-AT"/>
        </w:rPr>
        <w:t>the lack of a right to compensation does not violate the fundamental right to proper</w:t>
      </w:r>
      <w:r w:rsidR="002C485E">
        <w:rPr>
          <w:rFonts w:cstheme="minorHAnsi"/>
          <w:lang w:val="en-GB" w:eastAsia="de-AT"/>
        </w:rPr>
        <w:t>ty or the principle of equality. To begin with, the Court observed that</w:t>
      </w:r>
      <w:r w:rsidRPr="00442E38">
        <w:rPr>
          <w:rFonts w:cstheme="minorHAnsi"/>
          <w:lang w:val="en-GB" w:eastAsia="de-AT"/>
        </w:rPr>
        <w:t xml:space="preserve"> a ban on entry for </w:t>
      </w:r>
      <w:r w:rsidRPr="00442E38">
        <w:rPr>
          <w:rFonts w:cstheme="minorHAnsi"/>
          <w:lang w:val="en-GB"/>
        </w:rPr>
        <w:t xml:space="preserve">business premises </w:t>
      </w:r>
      <w:r w:rsidRPr="00442E38">
        <w:rPr>
          <w:rFonts w:cstheme="minorHAnsi"/>
          <w:lang w:val="en-GB" w:eastAsia="de-AT"/>
        </w:rPr>
        <w:t xml:space="preserve">has the same effect on the affected companies as a ban on operation and thus constitutes a significant interference with the fundamental right to property. However, the ban on entry was and is embedded in an extensive package of measures which aims to cushion the economic impact of the ban on entry on the companies concerned and of the consequences of the COVID-19 pandemic in general. This package is a substitute for the </w:t>
      </w:r>
      <w:r w:rsidRPr="00442E38">
        <w:rPr>
          <w:rFonts w:cstheme="minorHAnsi"/>
          <w:lang w:val="en-GB"/>
        </w:rPr>
        <w:t xml:space="preserve">entitlement </w:t>
      </w:r>
      <w:r w:rsidR="008E5187">
        <w:rPr>
          <w:rFonts w:cstheme="minorHAnsi"/>
          <w:lang w:val="en-GB"/>
        </w:rPr>
        <w:t>to</w:t>
      </w:r>
      <w:r w:rsidRPr="00442E38">
        <w:rPr>
          <w:rFonts w:cstheme="minorHAnsi"/>
          <w:lang w:val="en-GB"/>
        </w:rPr>
        <w:t xml:space="preserve"> compensation according to the Epidemics Act 1950. </w:t>
      </w:r>
    </w:p>
    <w:p w:rsidR="004C141A" w:rsidRPr="00442E38" w:rsidRDefault="004C141A" w:rsidP="002C485E">
      <w:pPr>
        <w:spacing w:before="240" w:line="360" w:lineRule="auto"/>
        <w:jc w:val="both"/>
        <w:rPr>
          <w:rFonts w:cstheme="minorHAnsi"/>
          <w:lang w:val="en-GB"/>
        </w:rPr>
      </w:pPr>
      <w:r w:rsidRPr="00442E38">
        <w:rPr>
          <w:rFonts w:cstheme="minorHAnsi"/>
          <w:lang w:val="en-GB"/>
        </w:rPr>
        <w:t>3.2.</w:t>
      </w:r>
      <w:r w:rsidRPr="00442E38">
        <w:rPr>
          <w:rFonts w:cstheme="minorHAnsi"/>
          <w:lang w:val="en-GB"/>
        </w:rPr>
        <w:tab/>
      </w:r>
      <w:r w:rsidR="002C485E">
        <w:rPr>
          <w:rFonts w:cstheme="minorHAnsi"/>
          <w:lang w:val="en-GB"/>
        </w:rPr>
        <w:t>In particular, the Court pointed out that</w:t>
      </w:r>
      <w:r w:rsidRPr="00442E38">
        <w:rPr>
          <w:rFonts w:cstheme="minorHAnsi"/>
          <w:lang w:val="en-GB" w:eastAsia="de-AT"/>
        </w:rPr>
        <w:t xml:space="preserve"> affected companies are legally entitled to financial support such as benefits for short-time work. With regard to these support measures, the ban on entry does not constitute a disproportionate interference </w:t>
      </w:r>
      <w:r w:rsidR="008E5187">
        <w:rPr>
          <w:rFonts w:cstheme="minorHAnsi"/>
          <w:lang w:val="en-GB" w:eastAsia="de-AT"/>
        </w:rPr>
        <w:t>with</w:t>
      </w:r>
      <w:r w:rsidRPr="00442E38">
        <w:rPr>
          <w:rFonts w:cstheme="minorHAnsi"/>
          <w:lang w:val="en-GB" w:eastAsia="de-AT"/>
        </w:rPr>
        <w:t xml:space="preserve"> the fundamental right to property. A right to compensation for all companies </w:t>
      </w:r>
      <w:r w:rsidR="008E5187">
        <w:rPr>
          <w:rFonts w:cstheme="minorHAnsi"/>
          <w:lang w:val="en-GB" w:eastAsia="de-AT"/>
        </w:rPr>
        <w:t>affected</w:t>
      </w:r>
      <w:r w:rsidRPr="00442E38">
        <w:rPr>
          <w:rFonts w:cstheme="minorHAnsi"/>
          <w:lang w:val="en-GB" w:eastAsia="de-AT"/>
        </w:rPr>
        <w:t xml:space="preserve"> by the ban on entry cannot be derived from the right to property: All companies in trade and service industries with customer areas (apart from the exceptions provided for in § 2 </w:t>
      </w:r>
      <w:r w:rsidR="008E5187">
        <w:rPr>
          <w:rFonts w:cstheme="minorHAnsi"/>
          <w:lang w:val="en-GB" w:eastAsia="de-AT"/>
        </w:rPr>
        <w:t>of</w:t>
      </w:r>
      <w:r w:rsidRPr="00442E38">
        <w:rPr>
          <w:rFonts w:cstheme="minorHAnsi"/>
          <w:lang w:val="en-GB" w:eastAsia="de-AT"/>
        </w:rPr>
        <w:t xml:space="preserve"> regulation</w:t>
      </w:r>
      <w:r w:rsidR="008E5187">
        <w:rPr>
          <w:rFonts w:cstheme="minorHAnsi"/>
          <w:lang w:val="en-GB" w:eastAsia="de-AT"/>
        </w:rPr>
        <w:t>-</w:t>
      </w:r>
      <w:r w:rsidRPr="00442E38">
        <w:rPr>
          <w:rFonts w:cstheme="minorHAnsi"/>
          <w:lang w:val="en-GB" w:eastAsia="de-AT"/>
        </w:rPr>
        <w:t xml:space="preserve">96) were affected by the entry ban and the adverse consequences associated therewith. The property restrictions were deemed necessary in order to avoid further spread of the </w:t>
      </w:r>
      <w:r w:rsidR="008E5187">
        <w:rPr>
          <w:rFonts w:cstheme="minorHAnsi"/>
          <w:lang w:val="en-GB" w:eastAsia="de-AT"/>
        </w:rPr>
        <w:t>epidemic</w:t>
      </w:r>
      <w:r w:rsidRPr="00442E38">
        <w:rPr>
          <w:rFonts w:cstheme="minorHAnsi"/>
          <w:lang w:val="en-GB" w:eastAsia="de-AT"/>
        </w:rPr>
        <w:t xml:space="preserve">. Therefore, in the present constellation, no obligation can be derived from the fundamental right to property to provide an additional claim </w:t>
      </w:r>
      <w:r w:rsidRPr="00442E38">
        <w:rPr>
          <w:rFonts w:cstheme="minorHAnsi"/>
          <w:lang w:val="en-GB"/>
        </w:rPr>
        <w:t>for compensation.</w:t>
      </w:r>
    </w:p>
    <w:p w:rsidR="004C141A" w:rsidRPr="00442E38" w:rsidRDefault="004C141A" w:rsidP="002C485E">
      <w:pPr>
        <w:spacing w:before="240" w:line="360" w:lineRule="auto"/>
        <w:jc w:val="both"/>
        <w:rPr>
          <w:rFonts w:cstheme="minorHAnsi"/>
          <w:lang w:val="en-GB"/>
        </w:rPr>
      </w:pPr>
      <w:r w:rsidRPr="00442E38">
        <w:rPr>
          <w:rFonts w:cstheme="minorHAnsi"/>
          <w:lang w:val="en-GB"/>
        </w:rPr>
        <w:t>3.</w:t>
      </w:r>
      <w:r w:rsidR="008E5187">
        <w:rPr>
          <w:rFonts w:cstheme="minorHAnsi"/>
          <w:lang w:val="en-GB"/>
        </w:rPr>
        <w:t>3</w:t>
      </w:r>
      <w:r w:rsidRPr="00442E38">
        <w:rPr>
          <w:rFonts w:cstheme="minorHAnsi"/>
          <w:lang w:val="en-GB"/>
        </w:rPr>
        <w:t>.</w:t>
      </w:r>
      <w:r w:rsidRPr="00442E38">
        <w:rPr>
          <w:rFonts w:cstheme="minorHAnsi"/>
          <w:lang w:val="en-GB"/>
        </w:rPr>
        <w:tab/>
      </w:r>
      <w:r w:rsidRPr="00442E38">
        <w:rPr>
          <w:rFonts w:cstheme="minorHAnsi"/>
          <w:lang w:val="en-GB" w:eastAsia="de-AT"/>
        </w:rPr>
        <w:t xml:space="preserve">The </w:t>
      </w:r>
      <w:r w:rsidRPr="00442E38">
        <w:rPr>
          <w:rFonts w:cstheme="minorHAnsi"/>
          <w:lang w:val="en-GB"/>
        </w:rPr>
        <w:t xml:space="preserve">Constitutional </w:t>
      </w:r>
      <w:r w:rsidRPr="00442E38">
        <w:rPr>
          <w:rFonts w:cstheme="minorHAnsi"/>
          <w:lang w:val="en-GB" w:eastAsia="de-AT"/>
        </w:rPr>
        <w:t xml:space="preserve">Court </w:t>
      </w:r>
      <w:r w:rsidRPr="00442E38">
        <w:rPr>
          <w:rFonts w:cstheme="minorHAnsi"/>
          <w:lang w:val="en-GB"/>
        </w:rPr>
        <w:t xml:space="preserve">noted </w:t>
      </w:r>
      <w:r w:rsidRPr="00442E38">
        <w:rPr>
          <w:rFonts w:cstheme="minorHAnsi"/>
          <w:lang w:val="en-GB" w:eastAsia="de-AT"/>
        </w:rPr>
        <w:t xml:space="preserve">that </w:t>
      </w:r>
      <w:r w:rsidRPr="00442E38">
        <w:rPr>
          <w:rFonts w:cstheme="minorHAnsi"/>
          <w:lang w:val="en-GB"/>
        </w:rPr>
        <w:t>in addition,</w:t>
      </w:r>
      <w:r w:rsidRPr="00442E38">
        <w:rPr>
          <w:rFonts w:cstheme="minorHAnsi"/>
          <w:lang w:val="en-GB" w:eastAsia="de-AT"/>
        </w:rPr>
        <w:t xml:space="preserve"> it does not violate the principle of equality that the </w:t>
      </w:r>
      <w:r w:rsidRPr="00442E38">
        <w:rPr>
          <w:rFonts w:cstheme="minorHAnsi"/>
          <w:lang w:val="en-GB"/>
        </w:rPr>
        <w:t xml:space="preserve">COVID-19 </w:t>
      </w:r>
      <w:r w:rsidRPr="00442E38">
        <w:rPr>
          <w:rFonts w:cstheme="minorHAnsi"/>
          <w:lang w:val="en-GB" w:eastAsia="de-AT"/>
        </w:rPr>
        <w:t xml:space="preserve">Measures Act lacks a right to compensation in the event of a ban on entry, while the Epidemics Act 1950 grants such a right for loss of earnings in the event of the closure of </w:t>
      </w:r>
      <w:r w:rsidRPr="00442E38">
        <w:rPr>
          <w:rFonts w:cstheme="minorHAnsi"/>
          <w:lang w:val="en-GB"/>
        </w:rPr>
        <w:t>companies</w:t>
      </w:r>
      <w:r w:rsidRPr="00442E38">
        <w:rPr>
          <w:rFonts w:cstheme="minorHAnsi"/>
          <w:lang w:val="en-GB" w:eastAsia="de-AT"/>
        </w:rPr>
        <w:t xml:space="preserve">. These </w:t>
      </w:r>
      <w:r w:rsidR="008D5F19">
        <w:rPr>
          <w:rFonts w:cstheme="minorHAnsi"/>
          <w:lang w:val="en-GB" w:eastAsia="de-AT"/>
        </w:rPr>
        <w:t>provisions</w:t>
      </w:r>
      <w:r w:rsidRPr="00442E38">
        <w:rPr>
          <w:rFonts w:cstheme="minorHAnsi"/>
          <w:lang w:val="en-GB" w:eastAsia="de-AT"/>
        </w:rPr>
        <w:t xml:space="preserve"> cannot be compared with each other </w:t>
      </w:r>
      <w:r w:rsidR="008E5187">
        <w:rPr>
          <w:rFonts w:cstheme="minorHAnsi"/>
          <w:lang w:val="en-GB" w:eastAsia="de-AT"/>
        </w:rPr>
        <w:t>since</w:t>
      </w:r>
      <w:r w:rsidRPr="00442E38">
        <w:rPr>
          <w:rFonts w:cstheme="minorHAnsi"/>
          <w:lang w:val="en-GB" w:eastAsia="de-AT"/>
        </w:rPr>
        <w:t xml:space="preserve"> the Epidemics Act 1950</w:t>
      </w:r>
      <w:r w:rsidR="008E5187">
        <w:rPr>
          <w:rFonts w:cstheme="minorHAnsi"/>
          <w:lang w:val="en-GB" w:eastAsia="de-AT"/>
        </w:rPr>
        <w:t xml:space="preserve"> is only aimed</w:t>
      </w:r>
      <w:r w:rsidRPr="00442E38">
        <w:rPr>
          <w:rFonts w:cstheme="minorHAnsi"/>
          <w:lang w:val="en-GB" w:eastAsia="de-AT"/>
        </w:rPr>
        <w:t xml:space="preserve"> </w:t>
      </w:r>
      <w:r w:rsidR="008E5187">
        <w:rPr>
          <w:rFonts w:cstheme="minorHAnsi"/>
          <w:lang w:val="en-GB" w:eastAsia="de-AT"/>
        </w:rPr>
        <w:t>at</w:t>
      </w:r>
      <w:r w:rsidR="008D5F19">
        <w:rPr>
          <w:rFonts w:cstheme="minorHAnsi"/>
          <w:lang w:val="en-GB" w:eastAsia="de-AT"/>
        </w:rPr>
        <w:t xml:space="preserve"> fighting the spread of local epidemics, e.g., by closing</w:t>
      </w:r>
      <w:r w:rsidRPr="00442E38">
        <w:rPr>
          <w:rFonts w:cstheme="minorHAnsi"/>
          <w:lang w:val="en-GB" w:eastAsia="de-AT"/>
        </w:rPr>
        <w:t xml:space="preserve"> </w:t>
      </w:r>
      <w:r w:rsidR="008D5F19">
        <w:rPr>
          <w:rFonts w:cstheme="minorHAnsi"/>
          <w:lang w:val="en-GB" w:eastAsia="de-AT"/>
        </w:rPr>
        <w:t>certain business facilities (especially factories)</w:t>
      </w:r>
      <w:r w:rsidRPr="00442E38">
        <w:rPr>
          <w:rFonts w:cstheme="minorHAnsi"/>
          <w:lang w:val="en-GB" w:eastAsia="de-AT"/>
        </w:rPr>
        <w:t xml:space="preserve"> presenting a</w:t>
      </w:r>
      <w:r w:rsidR="008D5F19">
        <w:rPr>
          <w:rFonts w:cstheme="minorHAnsi"/>
          <w:lang w:val="en-GB" w:eastAsia="de-AT"/>
        </w:rPr>
        <w:t xml:space="preserve"> specific</w:t>
      </w:r>
      <w:r w:rsidRPr="00442E38">
        <w:rPr>
          <w:rFonts w:cstheme="minorHAnsi"/>
          <w:lang w:val="en-GB" w:eastAsia="de-AT"/>
        </w:rPr>
        <w:t xml:space="preserve"> risk </w:t>
      </w:r>
      <w:r w:rsidR="008E5187">
        <w:rPr>
          <w:rFonts w:cstheme="minorHAnsi"/>
          <w:lang w:val="en-GB" w:eastAsia="de-AT"/>
        </w:rPr>
        <w:t>for spreading an epidemic</w:t>
      </w:r>
      <w:r w:rsidR="00B11221">
        <w:rPr>
          <w:rFonts w:cstheme="minorHAnsi"/>
          <w:lang w:val="en-GB" w:eastAsia="de-AT"/>
        </w:rPr>
        <w:t xml:space="preserve"> – in contrast to large-scale measures</w:t>
      </w:r>
      <w:r w:rsidR="00086FEA">
        <w:rPr>
          <w:rFonts w:cstheme="minorHAnsi"/>
          <w:lang w:val="en-GB" w:eastAsia="de-AT"/>
        </w:rPr>
        <w:t xml:space="preserve"> affecting the whole retail economy</w:t>
      </w:r>
      <w:r w:rsidR="00B11221">
        <w:rPr>
          <w:rFonts w:cstheme="minorHAnsi"/>
          <w:lang w:val="en-GB" w:eastAsia="de-AT"/>
        </w:rPr>
        <w:t xml:space="preserve"> as laid down in the </w:t>
      </w:r>
      <w:r w:rsidRPr="00442E38">
        <w:rPr>
          <w:rFonts w:cstheme="minorHAnsi"/>
          <w:lang w:val="en-GB" w:eastAsia="de-AT"/>
        </w:rPr>
        <w:t>COVID-19 Measures</w:t>
      </w:r>
      <w:r w:rsidRPr="00442E38">
        <w:rPr>
          <w:rFonts w:cstheme="minorHAnsi"/>
          <w:lang w:val="en-GB"/>
        </w:rPr>
        <w:t xml:space="preserve"> Act. </w:t>
      </w:r>
    </w:p>
    <w:p w:rsidR="004C141A" w:rsidRPr="00442E38" w:rsidRDefault="004C141A" w:rsidP="002C485E">
      <w:pPr>
        <w:spacing w:before="240" w:line="360" w:lineRule="auto"/>
        <w:jc w:val="both"/>
        <w:rPr>
          <w:rFonts w:cstheme="minorHAnsi"/>
          <w:lang w:val="en-GB"/>
        </w:rPr>
      </w:pPr>
      <w:r w:rsidRPr="00442E38">
        <w:rPr>
          <w:rFonts w:cstheme="minorHAnsi"/>
          <w:lang w:val="en-GB"/>
        </w:rPr>
        <w:t>3.</w:t>
      </w:r>
      <w:r w:rsidR="00B11221">
        <w:rPr>
          <w:rFonts w:cstheme="minorHAnsi"/>
          <w:lang w:val="en-GB"/>
        </w:rPr>
        <w:t>4</w:t>
      </w:r>
      <w:r w:rsidRPr="00442E38">
        <w:rPr>
          <w:rFonts w:cstheme="minorHAnsi"/>
          <w:lang w:val="en-GB"/>
        </w:rPr>
        <w:t>.</w:t>
      </w:r>
      <w:r w:rsidRPr="00442E38">
        <w:rPr>
          <w:rFonts w:cstheme="minorHAnsi"/>
          <w:lang w:val="en-GB"/>
        </w:rPr>
        <w:tab/>
        <w:t>Furthermore</w:t>
      </w:r>
      <w:r w:rsidRPr="00442E38">
        <w:rPr>
          <w:rFonts w:cstheme="minorHAnsi"/>
          <w:lang w:val="en-GB" w:eastAsia="de-AT"/>
        </w:rPr>
        <w:t xml:space="preserve">, the Court </w:t>
      </w:r>
      <w:r w:rsidRPr="00442E38">
        <w:rPr>
          <w:rFonts w:cstheme="minorHAnsi"/>
          <w:lang w:val="en-GB"/>
        </w:rPr>
        <w:t xml:space="preserve">pointed out </w:t>
      </w:r>
      <w:r w:rsidRPr="00442E38">
        <w:rPr>
          <w:rFonts w:cstheme="minorHAnsi"/>
          <w:lang w:val="en-GB" w:eastAsia="de-AT"/>
        </w:rPr>
        <w:t xml:space="preserve">that the legislator enjoys a wide margin of discretion when combating the economic consequences of the </w:t>
      </w:r>
      <w:r w:rsidRPr="00442E38">
        <w:rPr>
          <w:rFonts w:cstheme="minorHAnsi"/>
          <w:lang w:val="en-GB"/>
        </w:rPr>
        <w:t xml:space="preserve">COVID-19 </w:t>
      </w:r>
      <w:r w:rsidRPr="00442E38">
        <w:rPr>
          <w:rFonts w:cstheme="minorHAnsi"/>
          <w:lang w:val="en-GB" w:eastAsia="de-AT"/>
        </w:rPr>
        <w:t xml:space="preserve">pandemic. The decision to embed the ban on entry into a separate rescue package (instead of resorting to the </w:t>
      </w:r>
      <w:r w:rsidRPr="00442E38">
        <w:rPr>
          <w:rFonts w:cstheme="minorHAnsi"/>
          <w:lang w:val="en-GB"/>
        </w:rPr>
        <w:t xml:space="preserve">regime of the </w:t>
      </w:r>
      <w:r w:rsidRPr="00442E38">
        <w:rPr>
          <w:rFonts w:cstheme="minorHAnsi"/>
          <w:lang w:val="en-GB" w:eastAsia="de-AT"/>
        </w:rPr>
        <w:t>Epidemics Act 1950</w:t>
      </w:r>
      <w:r w:rsidRPr="00442E38">
        <w:rPr>
          <w:rFonts w:cstheme="minorHAnsi"/>
          <w:lang w:val="en-GB"/>
        </w:rPr>
        <w:t>)</w:t>
      </w:r>
      <w:r w:rsidRPr="00442E38">
        <w:rPr>
          <w:rFonts w:cstheme="minorHAnsi"/>
          <w:lang w:val="en-GB" w:eastAsia="de-AT"/>
        </w:rPr>
        <w:t xml:space="preserve">, which essentially </w:t>
      </w:r>
      <w:r>
        <w:rPr>
          <w:rFonts w:cstheme="minorHAnsi"/>
          <w:lang w:val="en-GB" w:eastAsia="de-AT"/>
        </w:rPr>
        <w:t>pursues</w:t>
      </w:r>
      <w:r w:rsidRPr="00442E38">
        <w:rPr>
          <w:rFonts w:cstheme="minorHAnsi"/>
          <w:lang w:val="en-GB" w:eastAsia="de-AT"/>
        </w:rPr>
        <w:t xml:space="preserve"> the same </w:t>
      </w:r>
      <w:r>
        <w:rPr>
          <w:rFonts w:cstheme="minorHAnsi"/>
          <w:lang w:val="en-GB" w:eastAsia="de-AT"/>
        </w:rPr>
        <w:t>objective</w:t>
      </w:r>
      <w:r w:rsidRPr="00442E38">
        <w:rPr>
          <w:rFonts w:cstheme="minorHAnsi"/>
          <w:lang w:val="en-GB" w:eastAsia="de-AT"/>
        </w:rPr>
        <w:t xml:space="preserve"> as the right to compensation for loss of earnings under the Epidemics Act 1950, does not run counter the principle of </w:t>
      </w:r>
      <w:r w:rsidRPr="00442E38">
        <w:rPr>
          <w:rFonts w:cstheme="minorHAnsi"/>
          <w:lang w:val="en-GB"/>
        </w:rPr>
        <w:t xml:space="preserve">equality. </w:t>
      </w:r>
    </w:p>
    <w:p w:rsidR="004C141A" w:rsidRPr="00442E38" w:rsidRDefault="00B11221" w:rsidP="002C485E">
      <w:pPr>
        <w:spacing w:before="240" w:line="360" w:lineRule="auto"/>
        <w:jc w:val="both"/>
        <w:rPr>
          <w:rFonts w:cstheme="minorHAnsi"/>
          <w:color w:val="222222"/>
          <w:lang w:val="en-GB"/>
        </w:rPr>
      </w:pPr>
      <w:r>
        <w:rPr>
          <w:rFonts w:cstheme="minorHAnsi"/>
          <w:lang w:val="en-GB"/>
        </w:rPr>
        <w:t>4.</w:t>
      </w:r>
      <w:r>
        <w:rPr>
          <w:rFonts w:cstheme="minorHAnsi"/>
          <w:lang w:val="en-GB"/>
        </w:rPr>
        <w:tab/>
      </w:r>
      <w:r w:rsidR="004C141A" w:rsidRPr="00442E38">
        <w:rPr>
          <w:rFonts w:cstheme="minorHAnsi"/>
          <w:lang w:val="en-GB"/>
        </w:rPr>
        <w:t xml:space="preserve">The Constitutional Court concluded that in an overall view, the lack of compensation does not constitute a breach of a constitutional right. </w:t>
      </w:r>
    </w:p>
    <w:p w:rsidR="004C141A" w:rsidRPr="00442E38" w:rsidRDefault="004C141A" w:rsidP="002C485E">
      <w:pPr>
        <w:spacing w:before="240" w:line="360" w:lineRule="auto"/>
        <w:jc w:val="both"/>
        <w:rPr>
          <w:rFonts w:cstheme="minorHAnsi"/>
          <w:lang w:val="en-GB"/>
        </w:rPr>
      </w:pPr>
      <w:r w:rsidRPr="00442E38">
        <w:rPr>
          <w:rFonts w:cstheme="minorHAnsi"/>
          <w:lang w:val="en-GB"/>
        </w:rPr>
        <w:t>Cross-references:</w:t>
      </w:r>
    </w:p>
    <w:p w:rsidR="004C141A" w:rsidRPr="00442E38" w:rsidRDefault="004C141A" w:rsidP="002C485E">
      <w:pPr>
        <w:spacing w:before="240" w:line="360" w:lineRule="auto"/>
        <w:jc w:val="both"/>
        <w:rPr>
          <w:rFonts w:cstheme="minorHAnsi"/>
          <w:lang w:val="en-GB"/>
        </w:rPr>
      </w:pPr>
      <w:r w:rsidRPr="00442E38">
        <w:rPr>
          <w:rFonts w:cstheme="minorHAnsi"/>
          <w:lang w:val="en-GB"/>
        </w:rPr>
        <w:lastRenderedPageBreak/>
        <w:t>European Court of Human Rights:</w:t>
      </w:r>
    </w:p>
    <w:p w:rsidR="004C141A" w:rsidRPr="002C485E" w:rsidRDefault="004C141A" w:rsidP="002C485E">
      <w:pPr>
        <w:pStyle w:val="ListParagraph"/>
        <w:numPr>
          <w:ilvl w:val="0"/>
          <w:numId w:val="3"/>
        </w:numPr>
        <w:spacing w:before="240" w:line="360" w:lineRule="auto"/>
        <w:rPr>
          <w:rFonts w:cstheme="minorHAnsi"/>
          <w:lang w:val="en-GB"/>
        </w:rPr>
      </w:pPr>
      <w:proofErr w:type="spellStart"/>
      <w:r w:rsidRPr="002C485E">
        <w:rPr>
          <w:rFonts w:cstheme="minorHAnsi"/>
          <w:i/>
          <w:lang w:val="en-GB"/>
        </w:rPr>
        <w:t>Sporrong-Lönnroth</w:t>
      </w:r>
      <w:proofErr w:type="spellEnd"/>
      <w:r w:rsidRPr="002C485E">
        <w:rPr>
          <w:rFonts w:cstheme="minorHAnsi"/>
          <w:lang w:val="en-GB"/>
        </w:rPr>
        <w:t>, no. 7151/75 et al., 23.9.1983</w:t>
      </w:r>
    </w:p>
    <w:p w:rsidR="004C141A" w:rsidRPr="002C485E" w:rsidRDefault="004C141A" w:rsidP="002C485E">
      <w:pPr>
        <w:pStyle w:val="ListParagraph"/>
        <w:numPr>
          <w:ilvl w:val="0"/>
          <w:numId w:val="3"/>
        </w:numPr>
        <w:spacing w:before="240" w:line="360" w:lineRule="auto"/>
        <w:rPr>
          <w:rFonts w:cstheme="minorHAnsi"/>
          <w:lang w:val="en-GB"/>
        </w:rPr>
      </w:pPr>
      <w:r w:rsidRPr="002C485E">
        <w:rPr>
          <w:rFonts w:cstheme="minorHAnsi"/>
          <w:i/>
          <w:lang w:val="en-GB"/>
        </w:rPr>
        <w:t>Phocas</w:t>
      </w:r>
      <w:r w:rsidRPr="002C485E">
        <w:rPr>
          <w:rFonts w:cstheme="minorHAnsi"/>
          <w:lang w:val="en-GB"/>
        </w:rPr>
        <w:t>, no. 17.869/91, 23.4.1996</w:t>
      </w:r>
    </w:p>
    <w:p w:rsidR="004C141A" w:rsidRPr="00442E38" w:rsidRDefault="004C141A" w:rsidP="002C485E">
      <w:pPr>
        <w:spacing w:before="240" w:line="360" w:lineRule="auto"/>
        <w:jc w:val="both"/>
        <w:rPr>
          <w:rFonts w:cstheme="minorHAnsi"/>
          <w:lang w:val="en-GB"/>
        </w:rPr>
      </w:pPr>
      <w:r w:rsidRPr="00442E38">
        <w:rPr>
          <w:rFonts w:cstheme="minorHAnsi"/>
          <w:lang w:val="en-GB"/>
        </w:rPr>
        <w:t>Languages: German.</w:t>
      </w:r>
      <w:r>
        <w:rPr>
          <w:rFonts w:cstheme="minorHAnsi"/>
          <w:lang w:val="en-GB"/>
        </w:rPr>
        <w:t xml:space="preserve"> </w:t>
      </w:r>
    </w:p>
    <w:p w:rsidR="00304F72" w:rsidRPr="00304F72" w:rsidRDefault="00304F72" w:rsidP="00304F72">
      <w:pPr>
        <w:jc w:val="both"/>
        <w:rPr>
          <w:sz w:val="24"/>
          <w:szCs w:val="24"/>
          <w:lang w:val="en-GB" w:eastAsia="ru-RU"/>
        </w:rPr>
      </w:pPr>
    </w:p>
    <w:p w:rsidR="00304F72" w:rsidRPr="00304F72" w:rsidRDefault="00304F72" w:rsidP="002769B5">
      <w:pPr>
        <w:spacing w:before="240" w:line="360" w:lineRule="auto"/>
        <w:jc w:val="both"/>
        <w:rPr>
          <w:rFonts w:cstheme="minorHAnsi"/>
          <w:lang w:val="en-US"/>
        </w:rPr>
      </w:pPr>
    </w:p>
    <w:sectPr w:rsidR="00304F72" w:rsidRPr="00304F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A7FE4"/>
    <w:multiLevelType w:val="multilevel"/>
    <w:tmpl w:val="6B02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936D8A"/>
    <w:multiLevelType w:val="hybridMultilevel"/>
    <w:tmpl w:val="3E5A97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89F4087"/>
    <w:multiLevelType w:val="hybridMultilevel"/>
    <w:tmpl w:val="7F7C3D6A"/>
    <w:lvl w:ilvl="0" w:tplc="909059D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81"/>
    <w:rsid w:val="000068C5"/>
    <w:rsid w:val="00065E8D"/>
    <w:rsid w:val="00086FEA"/>
    <w:rsid w:val="000A0497"/>
    <w:rsid w:val="000A2E7C"/>
    <w:rsid w:val="000E6D2A"/>
    <w:rsid w:val="000F2E7E"/>
    <w:rsid w:val="0015089D"/>
    <w:rsid w:val="00161E92"/>
    <w:rsid w:val="00197494"/>
    <w:rsid w:val="001E6686"/>
    <w:rsid w:val="002769B5"/>
    <w:rsid w:val="00277BE9"/>
    <w:rsid w:val="002C485E"/>
    <w:rsid w:val="00304F72"/>
    <w:rsid w:val="00360208"/>
    <w:rsid w:val="003A2E23"/>
    <w:rsid w:val="00434CBB"/>
    <w:rsid w:val="00436902"/>
    <w:rsid w:val="00470512"/>
    <w:rsid w:val="00472681"/>
    <w:rsid w:val="00491175"/>
    <w:rsid w:val="00495421"/>
    <w:rsid w:val="004C141A"/>
    <w:rsid w:val="004E4D0E"/>
    <w:rsid w:val="00502C2A"/>
    <w:rsid w:val="00503D5F"/>
    <w:rsid w:val="005071D5"/>
    <w:rsid w:val="00513BC5"/>
    <w:rsid w:val="0052405A"/>
    <w:rsid w:val="00570CE3"/>
    <w:rsid w:val="005A719E"/>
    <w:rsid w:val="005C27C8"/>
    <w:rsid w:val="005C637D"/>
    <w:rsid w:val="0060173C"/>
    <w:rsid w:val="0060792B"/>
    <w:rsid w:val="00684F33"/>
    <w:rsid w:val="00693022"/>
    <w:rsid w:val="006A12BE"/>
    <w:rsid w:val="006D28D6"/>
    <w:rsid w:val="007347D8"/>
    <w:rsid w:val="007706BE"/>
    <w:rsid w:val="0078021A"/>
    <w:rsid w:val="007849AB"/>
    <w:rsid w:val="007B5BCA"/>
    <w:rsid w:val="007D4121"/>
    <w:rsid w:val="00805783"/>
    <w:rsid w:val="00830C81"/>
    <w:rsid w:val="008618A9"/>
    <w:rsid w:val="008D2100"/>
    <w:rsid w:val="008D5F19"/>
    <w:rsid w:val="008E5187"/>
    <w:rsid w:val="00940E48"/>
    <w:rsid w:val="00953786"/>
    <w:rsid w:val="009852B9"/>
    <w:rsid w:val="009A10B2"/>
    <w:rsid w:val="009D1C3B"/>
    <w:rsid w:val="00A342AA"/>
    <w:rsid w:val="00A86155"/>
    <w:rsid w:val="00AD43A6"/>
    <w:rsid w:val="00AE0994"/>
    <w:rsid w:val="00B11221"/>
    <w:rsid w:val="00B17D3A"/>
    <w:rsid w:val="00B86B8D"/>
    <w:rsid w:val="00B95397"/>
    <w:rsid w:val="00BA3EAB"/>
    <w:rsid w:val="00BD6F82"/>
    <w:rsid w:val="00C16CCF"/>
    <w:rsid w:val="00C33265"/>
    <w:rsid w:val="00CC10E4"/>
    <w:rsid w:val="00CC208D"/>
    <w:rsid w:val="00CD7214"/>
    <w:rsid w:val="00CF31DF"/>
    <w:rsid w:val="00D13AC1"/>
    <w:rsid w:val="00D61798"/>
    <w:rsid w:val="00D62A36"/>
    <w:rsid w:val="00D77B70"/>
    <w:rsid w:val="00D80439"/>
    <w:rsid w:val="00DD0322"/>
    <w:rsid w:val="00DD1FF3"/>
    <w:rsid w:val="00E27D49"/>
    <w:rsid w:val="00E80795"/>
    <w:rsid w:val="00E809CA"/>
    <w:rsid w:val="00E866A3"/>
    <w:rsid w:val="00ED162C"/>
    <w:rsid w:val="00EF0CE5"/>
    <w:rsid w:val="00F051E6"/>
    <w:rsid w:val="00F17713"/>
    <w:rsid w:val="00F24727"/>
    <w:rsid w:val="00F263F7"/>
    <w:rsid w:val="00F27572"/>
    <w:rsid w:val="00FE337A"/>
    <w:rsid w:val="00FF2A6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8F2A2F-1526-4D51-B7A1-E849C692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C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713"/>
    <w:pPr>
      <w:spacing w:after="0" w:line="338" w:lineRule="exact"/>
      <w:ind w:left="720"/>
      <w:contextualSpacing/>
      <w:jc w:val="both"/>
    </w:pPr>
    <w:rPr>
      <w:rFonts w:ascii="Calibri" w:eastAsia="Times New Roman" w:hAnsi="Calibri" w:cs="Times New Roman"/>
      <w:sz w:val="24"/>
      <w:szCs w:val="24"/>
      <w:lang w:val="de-DE" w:eastAsia="de-DE"/>
    </w:rPr>
  </w:style>
  <w:style w:type="paragraph" w:styleId="NormalWeb">
    <w:name w:val="Normal (Web)"/>
    <w:basedOn w:val="Normal"/>
    <w:uiPriority w:val="99"/>
    <w:semiHidden/>
    <w:unhideWhenUsed/>
    <w:rsid w:val="00BA3EAB"/>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4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1711</Words>
  <Characters>9413</Characters>
  <Application>Microsoft Office Word</Application>
  <DocSecurity>4</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Maria-Theresia Rappersberger</dc:creator>
  <cp:lastModifiedBy>DIKOV Grigory</cp:lastModifiedBy>
  <cp:revision>2</cp:revision>
  <dcterms:created xsi:type="dcterms:W3CDTF">2020-10-27T14:56:00Z</dcterms:created>
  <dcterms:modified xsi:type="dcterms:W3CDTF">2020-10-27T14:56:00Z</dcterms:modified>
</cp:coreProperties>
</file>